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97648" w14:textId="77777777" w:rsidR="00D25D16" w:rsidRPr="006B7810" w:rsidRDefault="00D25D16">
      <w:pPr>
        <w:ind w:left="2064"/>
        <w:rPr>
          <w:rFonts w:cstheme="minorHAnsi"/>
          <w:b/>
          <w:i/>
          <w:w w:val="80"/>
          <w:sz w:val="28"/>
        </w:rPr>
      </w:pPr>
    </w:p>
    <w:p w14:paraId="76ABAA14" w14:textId="395578C7" w:rsidR="00471638" w:rsidRPr="00285180" w:rsidRDefault="00AC4317" w:rsidP="00D25D16">
      <w:pPr>
        <w:ind w:left="2064"/>
        <w:jc w:val="center"/>
        <w:rPr>
          <w:rFonts w:cstheme="minorHAnsi"/>
          <w:color w:val="F15A29"/>
          <w:sz w:val="20"/>
        </w:rPr>
      </w:pPr>
      <w:r w:rsidRPr="00285180">
        <w:rPr>
          <w:rFonts w:cstheme="minorHAnsi"/>
          <w:b/>
          <w:color w:val="F15A29"/>
          <w:sz w:val="28"/>
        </w:rPr>
        <w:t>Unit 5: Numbers to 15 (November: Weeks 1&amp;2)</w:t>
      </w:r>
    </w:p>
    <w:p w14:paraId="32A8C01F" w14:textId="77777777" w:rsidR="00A352AE" w:rsidRPr="002F4F31" w:rsidRDefault="00A352AE">
      <w:pPr>
        <w:spacing w:before="9"/>
        <w:rPr>
          <w:rFonts w:cstheme="minorHAnsi"/>
          <w:sz w:val="8"/>
        </w:rPr>
      </w:pPr>
    </w:p>
    <w:p w14:paraId="0C0743B8" w14:textId="77777777" w:rsidR="00013506" w:rsidRPr="002F4F31" w:rsidRDefault="00013506" w:rsidP="00013506">
      <w:pPr>
        <w:spacing w:before="9"/>
        <w:rPr>
          <w:rFonts w:cstheme="minorHAnsi"/>
          <w:sz w:val="8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1"/>
        <w:gridCol w:w="12306"/>
      </w:tblGrid>
      <w:tr w:rsidR="00013506" w:rsidRPr="002F4F31" w14:paraId="5F596454" w14:textId="77777777" w:rsidTr="000254F6">
        <w:tc>
          <w:tcPr>
            <w:tcW w:w="2861" w:type="dxa"/>
            <w:shd w:val="clear" w:color="auto" w:fill="FDDAC6"/>
          </w:tcPr>
          <w:p w14:paraId="0DBDB334" w14:textId="425B0900" w:rsidR="00013506" w:rsidRPr="00285180" w:rsidRDefault="00013506" w:rsidP="00401659">
            <w:pPr>
              <w:spacing w:before="60" w:after="60"/>
              <w:rPr>
                <w:b/>
                <w:sz w:val="20"/>
                <w:szCs w:val="20"/>
              </w:rPr>
            </w:pPr>
            <w:r w:rsidRPr="00285180">
              <w:rPr>
                <w:b/>
                <w:sz w:val="20"/>
                <w:szCs w:val="20"/>
              </w:rPr>
              <w:t>Strand(s)</w:t>
            </w:r>
            <w:r w:rsidR="00851211" w:rsidRPr="00285180">
              <w:rPr>
                <w:b/>
                <w:sz w:val="20"/>
                <w:szCs w:val="20"/>
              </w:rPr>
              <w:t xml:space="preserve"> </w:t>
            </w:r>
            <w:r w:rsidRPr="00285180">
              <w:rPr>
                <w:b/>
                <w:sz w:val="20"/>
                <w:szCs w:val="20"/>
              </w:rPr>
              <w:t>&gt; Strand unit(s)</w:t>
            </w:r>
          </w:p>
        </w:tc>
        <w:tc>
          <w:tcPr>
            <w:tcW w:w="12306" w:type="dxa"/>
          </w:tcPr>
          <w:p w14:paraId="41907EB3" w14:textId="38FF2D6A" w:rsidR="00013506" w:rsidRPr="00285180" w:rsidRDefault="00013506" w:rsidP="00401659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285180">
              <w:rPr>
                <w:rFonts w:asciiTheme="minorHAnsi" w:hAnsiTheme="minorHAnsi" w:cstheme="minorHAnsi"/>
                <w:color w:val="231F20"/>
              </w:rPr>
              <w:t>Number &gt; Place Value and Base Ten; Numeration and Counting; Uses of Number.</w:t>
            </w:r>
          </w:p>
        </w:tc>
      </w:tr>
    </w:tbl>
    <w:p w14:paraId="036AD96A" w14:textId="77777777" w:rsidR="00013506" w:rsidRPr="002F4F31" w:rsidRDefault="00013506" w:rsidP="00013506">
      <w:pPr>
        <w:spacing w:before="5"/>
        <w:rPr>
          <w:rFonts w:cstheme="minorHAnsi"/>
          <w:sz w:val="8"/>
        </w:rPr>
      </w:pPr>
    </w:p>
    <w:p w14:paraId="18AB544E" w14:textId="77777777" w:rsidR="00A352AE" w:rsidRPr="002F4F31" w:rsidRDefault="00A352AE">
      <w:pPr>
        <w:spacing w:before="9"/>
        <w:rPr>
          <w:rFonts w:cstheme="minorHAnsi"/>
          <w:sz w:val="8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tblLook w:val="04A0" w:firstRow="1" w:lastRow="0" w:firstColumn="1" w:lastColumn="0" w:noHBand="0" w:noVBand="1"/>
      </w:tblPr>
      <w:tblGrid>
        <w:gridCol w:w="2861"/>
        <w:gridCol w:w="12306"/>
      </w:tblGrid>
      <w:tr w:rsidR="00A352AE" w:rsidRPr="002F4F31" w14:paraId="1341D5F0" w14:textId="77777777" w:rsidTr="000254F6">
        <w:tc>
          <w:tcPr>
            <w:tcW w:w="2861" w:type="dxa"/>
            <w:shd w:val="clear" w:color="auto" w:fill="FDDAC6"/>
          </w:tcPr>
          <w:p w14:paraId="7FCDECD4" w14:textId="77777777" w:rsidR="00A352AE" w:rsidRPr="00285180" w:rsidRDefault="00A352AE" w:rsidP="00A92B08">
            <w:pPr>
              <w:spacing w:before="60" w:after="60"/>
              <w:rPr>
                <w:b/>
                <w:sz w:val="20"/>
                <w:szCs w:val="20"/>
              </w:rPr>
            </w:pPr>
            <w:r w:rsidRPr="00285180">
              <w:rPr>
                <w:b/>
                <w:sz w:val="20"/>
                <w:szCs w:val="20"/>
              </w:rPr>
              <w:t>Learning Outcome(s)</w:t>
            </w:r>
          </w:p>
        </w:tc>
        <w:tc>
          <w:tcPr>
            <w:tcW w:w="12306" w:type="dxa"/>
          </w:tcPr>
          <w:p w14:paraId="1A037F92" w14:textId="14D9F3EC" w:rsidR="00A352AE" w:rsidRPr="00285180" w:rsidRDefault="00A352AE" w:rsidP="000308E6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0308E6">
              <w:rPr>
                <w:rFonts w:asciiTheme="minorHAnsi" w:hAnsiTheme="minorHAnsi" w:cstheme="minorHAnsi"/>
                <w:color w:val="231F20"/>
              </w:rPr>
              <w:t xml:space="preserve">Through appropriately playful and engaging learning experiences children should be able to develop a sense of ten as the foundation for place value and counting; </w:t>
            </w:r>
            <w:r w:rsidR="000308E6" w:rsidRPr="000308E6">
              <w:rPr>
                <w:rFonts w:asciiTheme="minorHAnsi" w:hAnsiTheme="minorHAnsi" w:cstheme="minorHAnsi"/>
                <w:color w:val="231F20"/>
              </w:rPr>
              <w:t xml:space="preserve">develop an awareness that numbers have a variety of uses; </w:t>
            </w:r>
            <w:r w:rsidRPr="00285180">
              <w:rPr>
                <w:rFonts w:asciiTheme="minorHAnsi" w:hAnsiTheme="minorHAnsi" w:cstheme="minorHAnsi"/>
                <w:color w:val="231F20"/>
              </w:rPr>
              <w:t>develop</w:t>
            </w:r>
            <w:r w:rsidRPr="000308E6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an</w:t>
            </w:r>
            <w:r w:rsidRPr="000308E6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awareness</w:t>
            </w:r>
            <w:r w:rsidRPr="000308E6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that</w:t>
            </w:r>
            <w:r w:rsidRPr="000308E6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285180">
              <w:rPr>
                <w:rFonts w:asciiTheme="minorHAnsi" w:hAnsiTheme="minorHAnsi" w:cstheme="minorHAnsi"/>
                <w:color w:val="231F20"/>
              </w:rPr>
              <w:t>the purpose of counting is to quantify; use a range of counting strategies for a range of purposes; develop an awareness that numbers have a variety of uses</w:t>
            </w:r>
            <w:r w:rsidR="000308E6" w:rsidRPr="000308E6">
              <w:rPr>
                <w:rFonts w:asciiTheme="minorHAnsi" w:hAnsiTheme="minorHAnsi" w:cstheme="minorHAnsi"/>
                <w:color w:val="231F20"/>
              </w:rPr>
              <w:t>; explore, recognise and create patterns and sequences.</w:t>
            </w:r>
          </w:p>
        </w:tc>
      </w:tr>
    </w:tbl>
    <w:p w14:paraId="5FB9201E" w14:textId="77777777" w:rsidR="00471638" w:rsidRPr="002F4F31" w:rsidRDefault="00471638">
      <w:pPr>
        <w:spacing w:before="5"/>
        <w:rPr>
          <w:rFonts w:cstheme="minorHAnsi"/>
          <w:sz w:val="8"/>
        </w:rPr>
      </w:pPr>
    </w:p>
    <w:p w14:paraId="5C12071F" w14:textId="77777777" w:rsidR="00471638" w:rsidRPr="002F4F31" w:rsidRDefault="00471638">
      <w:pPr>
        <w:rPr>
          <w:rFonts w:cstheme="minorHAnsi"/>
          <w:sz w:val="12"/>
        </w:rPr>
      </w:pPr>
    </w:p>
    <w:tbl>
      <w:tblPr>
        <w:tblW w:w="0" w:type="auto"/>
        <w:tblInd w:w="191" w:type="dxa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492"/>
        <w:gridCol w:w="979"/>
        <w:gridCol w:w="2861"/>
        <w:gridCol w:w="1984"/>
      </w:tblGrid>
      <w:tr w:rsidR="00B207CF" w14:paraId="25355706" w14:textId="77777777" w:rsidTr="00285180">
        <w:trPr>
          <w:trHeight w:val="403"/>
        </w:trPr>
        <w:tc>
          <w:tcPr>
            <w:tcW w:w="851" w:type="dxa"/>
            <w:tcBorders>
              <w:left w:val="single" w:sz="18" w:space="0" w:color="F15A29"/>
              <w:bottom w:val="single" w:sz="12" w:space="0" w:color="F15A29"/>
              <w:right w:val="single" w:sz="8" w:space="0" w:color="FFFFFF"/>
            </w:tcBorders>
            <w:shd w:val="clear" w:color="auto" w:fill="F15A29"/>
          </w:tcPr>
          <w:p w14:paraId="4A982822" w14:textId="77777777" w:rsidR="00B207CF" w:rsidRPr="00285180" w:rsidRDefault="00B207CF" w:rsidP="001A27BC">
            <w:pPr>
              <w:pStyle w:val="TableParagraph"/>
              <w:spacing w:before="4"/>
              <w:ind w:left="21"/>
              <w:rPr>
                <w:b/>
                <w:sz w:val="24"/>
              </w:rPr>
            </w:pPr>
            <w:r w:rsidRPr="00285180">
              <w:rPr>
                <w:b/>
                <w:color w:val="FFFFFF"/>
                <w:sz w:val="24"/>
              </w:rPr>
              <w:t>Lesson</w:t>
            </w:r>
          </w:p>
        </w:tc>
        <w:tc>
          <w:tcPr>
            <w:tcW w:w="8492" w:type="dxa"/>
            <w:tcBorders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</w:tcPr>
          <w:p w14:paraId="4A488F2C" w14:textId="1330D849" w:rsidR="00B207CF" w:rsidRPr="00285180" w:rsidRDefault="0046194C" w:rsidP="001A27BC">
            <w:pPr>
              <w:pStyle w:val="TableParagraph"/>
              <w:jc w:val="center"/>
            </w:pPr>
            <w:r w:rsidRPr="00285180">
              <w:rPr>
                <w:b/>
                <w:color w:val="FFFFFF"/>
                <w:sz w:val="24"/>
              </w:rPr>
              <w:t>Focus of Lea</w:t>
            </w:r>
            <w:r w:rsidR="001A27BC" w:rsidRPr="00285180">
              <w:rPr>
                <w:b/>
                <w:color w:val="FFFFFF"/>
                <w:sz w:val="24"/>
              </w:rPr>
              <w:t>rning (with Elements)</w:t>
            </w:r>
          </w:p>
        </w:tc>
        <w:tc>
          <w:tcPr>
            <w:tcW w:w="979" w:type="dxa"/>
            <w:tcBorders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</w:tcPr>
          <w:p w14:paraId="5CA95743" w14:textId="77777777" w:rsidR="00B207CF" w:rsidRPr="00285180" w:rsidRDefault="00B207CF" w:rsidP="001A27BC">
            <w:pPr>
              <w:pStyle w:val="TableParagraph"/>
              <w:spacing w:before="4"/>
              <w:ind w:left="207"/>
              <w:rPr>
                <w:b/>
                <w:sz w:val="24"/>
              </w:rPr>
            </w:pPr>
            <w:r w:rsidRPr="00285180">
              <w:rPr>
                <w:b/>
                <w:color w:val="FFFFFF"/>
                <w:sz w:val="24"/>
              </w:rPr>
              <w:t>CM</w:t>
            </w:r>
          </w:p>
        </w:tc>
        <w:tc>
          <w:tcPr>
            <w:tcW w:w="2861" w:type="dxa"/>
            <w:tcBorders>
              <w:left w:val="single" w:sz="8" w:space="0" w:color="FFFFFF"/>
              <w:bottom w:val="single" w:sz="12" w:space="0" w:color="F15A29"/>
              <w:right w:val="single" w:sz="8" w:space="0" w:color="FFFFFF"/>
            </w:tcBorders>
            <w:shd w:val="clear" w:color="auto" w:fill="F15A29"/>
          </w:tcPr>
          <w:p w14:paraId="67857BBB" w14:textId="17BFB8D4" w:rsidR="00B207CF" w:rsidRPr="00285180" w:rsidRDefault="00AC1645" w:rsidP="001A27BC">
            <w:pPr>
              <w:pStyle w:val="TableParagraph"/>
              <w:spacing w:before="4"/>
              <w:ind w:left="648"/>
              <w:rPr>
                <w:b/>
                <w:sz w:val="24"/>
              </w:rPr>
            </w:pPr>
            <w:r w:rsidRPr="00285180">
              <w:rPr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84" w:type="dxa"/>
            <w:tcBorders>
              <w:left w:val="single" w:sz="8" w:space="0" w:color="FFFFFF"/>
              <w:bottom w:val="single" w:sz="12" w:space="0" w:color="F15A29"/>
              <w:right w:val="single" w:sz="18" w:space="0" w:color="F15A29"/>
            </w:tcBorders>
            <w:shd w:val="clear" w:color="auto" w:fill="F15A29"/>
          </w:tcPr>
          <w:p w14:paraId="06E89F56" w14:textId="77777777" w:rsidR="00B207CF" w:rsidRPr="00285180" w:rsidRDefault="00B207CF" w:rsidP="001A27BC">
            <w:pPr>
              <w:pStyle w:val="TableParagraph"/>
              <w:spacing w:before="4"/>
              <w:ind w:left="328"/>
              <w:rPr>
                <w:b/>
                <w:sz w:val="24"/>
              </w:rPr>
            </w:pPr>
            <w:r w:rsidRPr="00285180">
              <w:rPr>
                <w:b/>
                <w:color w:val="FFFFFF"/>
                <w:sz w:val="24"/>
              </w:rPr>
              <w:t>Assessment</w:t>
            </w:r>
          </w:p>
        </w:tc>
      </w:tr>
      <w:tr w:rsidR="00082083" w:rsidRPr="002F4F31" w14:paraId="413E52CA" w14:textId="77777777" w:rsidTr="00285180">
        <w:trPr>
          <w:trHeight w:val="821"/>
        </w:trPr>
        <w:tc>
          <w:tcPr>
            <w:tcW w:w="851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6D9925" w14:textId="77777777" w:rsidR="00082083" w:rsidRPr="00285180" w:rsidRDefault="00082083" w:rsidP="00082083">
            <w:pPr>
              <w:pStyle w:val="TableParagraph"/>
              <w:spacing w:line="214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492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4D5C3E" w14:textId="57180FF4" w:rsidR="00082083" w:rsidRPr="00285180" w:rsidRDefault="00082083" w:rsidP="00E6106E">
            <w:pPr>
              <w:pStyle w:val="TableParagraph"/>
              <w:spacing w:line="214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More Numbers to 10: </w:t>
            </w:r>
            <w:r w:rsidRPr="00285180">
              <w:rPr>
                <w:rFonts w:cstheme="minorHAnsi"/>
                <w:color w:val="231F20"/>
                <w:sz w:val="20"/>
              </w:rPr>
              <w:t>Recalls the number sequence and counts forwards and backwards from 0 to at least 20, starting at any given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>number using verbal, concrete and pictorial supports (U&amp;C); Establishes the number immediately before or after another number without having to start at 1 (R)</w:t>
            </w:r>
          </w:p>
        </w:tc>
        <w:tc>
          <w:tcPr>
            <w:tcW w:w="979" w:type="dxa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D87889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vMerge w:val="restart"/>
            <w:tcBorders>
              <w:left w:val="single" w:sz="8" w:space="0" w:color="F15A29"/>
              <w:bottom w:val="nil"/>
              <w:right w:val="single" w:sz="8" w:space="0" w:color="F15A29"/>
            </w:tcBorders>
          </w:tcPr>
          <w:p w14:paraId="6B94FA95" w14:textId="77777777" w:rsidR="00082083" w:rsidRPr="00285180" w:rsidRDefault="00B33C26" w:rsidP="00B33C26">
            <w:pPr>
              <w:pStyle w:val="TableParagraph"/>
              <w:spacing w:before="85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Notice &amp; Wonder L1–2</w:t>
            </w:r>
          </w:p>
          <w:p w14:paraId="4D5E05A9" w14:textId="77777777" w:rsidR="00082083" w:rsidRPr="00285180" w:rsidRDefault="00B33C26" w:rsidP="00B33C26">
            <w:pPr>
              <w:pStyle w:val="TableParagraph"/>
              <w:spacing w:before="37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Reason &amp; Respond L1–2, 4–6</w:t>
            </w:r>
          </w:p>
          <w:p w14:paraId="2B0C1503" w14:textId="77777777" w:rsidR="00082083" w:rsidRPr="00285180" w:rsidRDefault="00B33C26" w:rsidP="00B33C26">
            <w:pPr>
              <w:pStyle w:val="TableParagraph"/>
              <w:spacing w:before="37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Think-Pair-Share L1–3</w:t>
            </w:r>
          </w:p>
          <w:p w14:paraId="098EEE28" w14:textId="77777777" w:rsidR="00082083" w:rsidRPr="00285180" w:rsidRDefault="00B33C26" w:rsidP="00B33C26">
            <w:pPr>
              <w:pStyle w:val="TableParagraph"/>
              <w:spacing w:before="37"/>
              <w:ind w:left="140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[C] </w:t>
            </w:r>
            <w:r w:rsidR="00082083" w:rsidRPr="00285180">
              <w:rPr>
                <w:rFonts w:cstheme="minorHAnsi"/>
                <w:color w:val="231F20"/>
                <w:sz w:val="20"/>
              </w:rPr>
              <w:t>Show me! L1–4</w:t>
            </w:r>
          </w:p>
          <w:p w14:paraId="4B5334BF" w14:textId="77777777" w:rsidR="00082083" w:rsidRPr="00285180" w:rsidRDefault="00B33C26" w:rsidP="00B33C26">
            <w:pPr>
              <w:pStyle w:val="TableParagraph"/>
              <w:spacing w:before="37" w:line="235" w:lineRule="exact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Choral Counting L2–3, 6</w:t>
            </w:r>
          </w:p>
        </w:tc>
        <w:tc>
          <w:tcPr>
            <w:tcW w:w="1984" w:type="dxa"/>
            <w:vMerge w:val="restart"/>
            <w:tcBorders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1B506A" w14:textId="77777777" w:rsidR="00082083" w:rsidRPr="00285180" w:rsidRDefault="00082083" w:rsidP="00082083">
            <w:pPr>
              <w:pStyle w:val="TableParagraph"/>
              <w:spacing w:line="214" w:lineRule="exact"/>
              <w:ind w:left="64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>Intuitive Assessment:</w:t>
            </w:r>
          </w:p>
          <w:p w14:paraId="7CE8C1DA" w14:textId="4DCEB502" w:rsidR="00082083" w:rsidRPr="00285180" w:rsidRDefault="000E7411" w:rsidP="00082083">
            <w:pPr>
              <w:pStyle w:val="TableParagraph"/>
              <w:spacing w:before="8" w:line="249" w:lineRule="auto"/>
              <w:ind w:left="64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color w:val="231F20"/>
                <w:sz w:val="20"/>
              </w:rPr>
              <w:t>responding to emerging misconceptions</w:t>
            </w:r>
          </w:p>
          <w:p w14:paraId="0861D61D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  <w:p w14:paraId="2C5FCB36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  <w:p w14:paraId="7203A4B1" w14:textId="77777777" w:rsidR="00082083" w:rsidRPr="00285180" w:rsidRDefault="00082083" w:rsidP="00082083">
            <w:pPr>
              <w:pStyle w:val="TableParagraph"/>
              <w:spacing w:before="157"/>
              <w:rPr>
                <w:rFonts w:cstheme="minorHAnsi"/>
                <w:sz w:val="20"/>
              </w:rPr>
            </w:pPr>
          </w:p>
          <w:p w14:paraId="1287A129" w14:textId="77777777" w:rsidR="00955BDC" w:rsidRPr="00285180" w:rsidRDefault="00082083" w:rsidP="00082083">
            <w:pPr>
              <w:pStyle w:val="TableParagraph"/>
              <w:spacing w:before="1" w:line="249" w:lineRule="auto"/>
              <w:ind w:left="64"/>
              <w:rPr>
                <w:rFonts w:cstheme="minorHAnsi"/>
                <w:b/>
                <w:color w:val="231F20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Planned Interactions: </w:t>
            </w:r>
          </w:p>
          <w:p w14:paraId="10D1FE7C" w14:textId="2012F682" w:rsidR="00082083" w:rsidRPr="00285180" w:rsidRDefault="00082083" w:rsidP="00082083">
            <w:pPr>
              <w:pStyle w:val="TableParagraph"/>
              <w:spacing w:before="1" w:line="249" w:lineRule="auto"/>
              <w:ind w:left="64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color w:val="231F20"/>
                <w:sz w:val="20"/>
              </w:rPr>
              <w:t>responding to insights gleaned from children’s responses to learning experiences</w:t>
            </w:r>
          </w:p>
          <w:p w14:paraId="631C88FA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  <w:p w14:paraId="58BFC5EC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  <w:p w14:paraId="5018C62D" w14:textId="77777777" w:rsidR="00082083" w:rsidRPr="00285180" w:rsidRDefault="00082083" w:rsidP="00082083">
            <w:pPr>
              <w:pStyle w:val="TableParagraph"/>
              <w:spacing w:before="153"/>
              <w:rPr>
                <w:rFonts w:cstheme="minorHAnsi"/>
                <w:sz w:val="20"/>
              </w:rPr>
            </w:pPr>
          </w:p>
          <w:p w14:paraId="61778536" w14:textId="77777777" w:rsidR="00082083" w:rsidRPr="00285180" w:rsidRDefault="00082083" w:rsidP="00082083">
            <w:pPr>
              <w:pStyle w:val="TableParagraph"/>
              <w:spacing w:before="1" w:line="249" w:lineRule="auto"/>
              <w:ind w:left="64" w:right="62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Assessment Events: </w:t>
            </w:r>
            <w:r w:rsidRPr="00285180">
              <w:rPr>
                <w:rFonts w:cstheme="minorHAnsi"/>
                <w:color w:val="231F20"/>
                <w:sz w:val="20"/>
              </w:rPr>
              <w:t>information gathered from completion of the unit assessment in the Progress Assessment Booklet pages 12–13</w:t>
            </w:r>
          </w:p>
        </w:tc>
      </w:tr>
      <w:tr w:rsidR="00082083" w:rsidRPr="002F4F31" w14:paraId="4D66FD3D" w14:textId="77777777" w:rsidTr="00285180">
        <w:trPr>
          <w:trHeight w:val="612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EFAF7FC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51BB3C16" w14:textId="7E2C2309" w:rsidR="00082083" w:rsidRPr="00285180" w:rsidRDefault="00082083" w:rsidP="00E6106E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Numbers to 12: </w:t>
            </w:r>
            <w:r w:rsidRPr="00285180">
              <w:rPr>
                <w:rFonts w:cstheme="minorHAnsi"/>
                <w:color w:val="231F20"/>
                <w:sz w:val="20"/>
              </w:rPr>
              <w:t>Discusses the grouping and swapping of ten ones to ‘make a group of ten’ (C); Explores mathematical representation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>of tens and ones (C); Explores how the names of numerals reflect their relationships to 10 (R)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FD09A9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46860EE" w14:textId="77777777" w:rsidR="00082083" w:rsidRPr="00285180" w:rsidRDefault="00082083" w:rsidP="00B33C26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35B375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5F4962BD" w14:textId="77777777" w:rsidTr="00285180">
        <w:trPr>
          <w:trHeight w:val="52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0DF7F0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2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9ED5F72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273672B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049A36E" w14:textId="77777777" w:rsidR="00082083" w:rsidRPr="00285180" w:rsidRDefault="00B33C26" w:rsidP="00B33C26">
            <w:pPr>
              <w:pStyle w:val="TableParagraph"/>
              <w:spacing w:before="3"/>
              <w:ind w:left="151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[P] </w:t>
            </w:r>
            <w:r w:rsidR="00082083" w:rsidRPr="00285180">
              <w:rPr>
                <w:rFonts w:cstheme="minorHAnsi"/>
                <w:color w:val="231F20"/>
                <w:sz w:val="20"/>
              </w:rPr>
              <w:t>Bigger than 10 L2</w:t>
            </w:r>
          </w:p>
          <w:p w14:paraId="740F7F63" w14:textId="77777777" w:rsidR="00082083" w:rsidRPr="00285180" w:rsidRDefault="00B33C26" w:rsidP="00B33C26">
            <w:pPr>
              <w:pStyle w:val="TableParagraph"/>
              <w:spacing w:before="37"/>
              <w:ind w:left="140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[C] </w:t>
            </w:r>
            <w:r w:rsidR="00082083" w:rsidRPr="00285180">
              <w:rPr>
                <w:rFonts w:cstheme="minorHAnsi"/>
                <w:color w:val="231F20"/>
                <w:sz w:val="20"/>
              </w:rPr>
              <w:t>Build It! L2–3</w:t>
            </w:r>
          </w:p>
          <w:p w14:paraId="1B18EF2F" w14:textId="77777777" w:rsidR="00082083" w:rsidRPr="00285180" w:rsidRDefault="0053131D" w:rsidP="00B33C26">
            <w:pPr>
              <w:pStyle w:val="TableParagraph"/>
              <w:spacing w:before="37" w:line="235" w:lineRule="exact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Quick Images L3, 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9C8FE7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665A868C" w14:textId="77777777" w:rsidTr="00285180">
        <w:trPr>
          <w:trHeight w:val="597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1D5DD3FD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3045BB1" w14:textId="553D55F1" w:rsidR="00082083" w:rsidRPr="00285180" w:rsidRDefault="00082083" w:rsidP="00E6106E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Numbers to 14: </w:t>
            </w:r>
            <w:r w:rsidRPr="00285180">
              <w:rPr>
                <w:rFonts w:cstheme="minorHAnsi"/>
                <w:color w:val="231F20"/>
                <w:sz w:val="20"/>
              </w:rPr>
              <w:t>Participates in grouping and swapping activities involving making tens (A&amp;PS); Partitions sets of 2−10 into two or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 xml:space="preserve">more subsets and </w:t>
            </w:r>
            <w:proofErr w:type="spellStart"/>
            <w:r w:rsidRPr="00285180">
              <w:rPr>
                <w:rFonts w:cstheme="minorHAnsi"/>
                <w:color w:val="231F20"/>
                <w:sz w:val="20"/>
              </w:rPr>
              <w:t>recognises</w:t>
            </w:r>
            <w:proofErr w:type="spellEnd"/>
            <w:r w:rsidRPr="00285180">
              <w:rPr>
                <w:rFonts w:cstheme="minorHAnsi"/>
                <w:color w:val="231F20"/>
                <w:sz w:val="20"/>
              </w:rPr>
              <w:t xml:space="preserve"> that this does not affect the total (R)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93E809A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DD84B9F" w14:textId="77777777" w:rsidR="00082083" w:rsidRPr="00285180" w:rsidRDefault="00082083" w:rsidP="00B33C26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D9C4AA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057F927B" w14:textId="77777777" w:rsidTr="00285180">
        <w:trPr>
          <w:trHeight w:val="43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E88C11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4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522E89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0D006C0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79FCA71" w14:textId="77777777" w:rsidR="00082083" w:rsidRPr="00285180" w:rsidRDefault="0053131D" w:rsidP="00B33C26">
            <w:pPr>
              <w:pStyle w:val="TableParagraph"/>
              <w:spacing w:before="3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Write-Hide-Show L3, 5</w:t>
            </w:r>
          </w:p>
          <w:p w14:paraId="282630F6" w14:textId="77777777" w:rsidR="00082083" w:rsidRPr="00285180" w:rsidRDefault="0053131D" w:rsidP="00B33C26">
            <w:pPr>
              <w:pStyle w:val="TableParagraph"/>
              <w:spacing w:before="37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Concept Cartoon L3</w:t>
            </w:r>
          </w:p>
          <w:p w14:paraId="5C311406" w14:textId="77777777" w:rsidR="00082083" w:rsidRPr="00285180" w:rsidRDefault="0053131D" w:rsidP="0053131D">
            <w:pPr>
              <w:pStyle w:val="TableParagraph"/>
              <w:spacing w:before="37" w:line="235" w:lineRule="exact"/>
              <w:ind w:left="140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[C] </w:t>
            </w:r>
            <w:r w:rsidR="00082083" w:rsidRPr="00285180">
              <w:rPr>
                <w:rFonts w:cstheme="minorHAnsi"/>
                <w:color w:val="231F20"/>
                <w:sz w:val="20"/>
              </w:rPr>
              <w:t>Paper Plate Bonds L3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DA0F0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69A077D9" w14:textId="77777777" w:rsidTr="00285180">
        <w:trPr>
          <w:trHeight w:val="581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A2333BB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046B4507" w14:textId="5FA94F4F" w:rsidR="00082083" w:rsidRPr="00285180" w:rsidRDefault="00082083" w:rsidP="00E6106E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Numbers to 15: </w:t>
            </w:r>
            <w:r w:rsidRPr="00285180">
              <w:rPr>
                <w:rFonts w:cstheme="minorHAnsi"/>
                <w:color w:val="231F20"/>
                <w:sz w:val="20"/>
              </w:rPr>
              <w:t>Explores the relationship between the numbers 11−15 (U&amp;C); Matches numerals and number words to sets and to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>other numerals in a variety of contexts (A&amp;PS)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43C4E2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CE4D371" w14:textId="77777777" w:rsidR="00082083" w:rsidRPr="00285180" w:rsidRDefault="00082083" w:rsidP="00B33C26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1905884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5835F719" w14:textId="77777777" w:rsidTr="00285180">
        <w:trPr>
          <w:trHeight w:val="91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C22AD01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953CBCA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BDE8B6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66957045" w14:textId="77777777" w:rsidR="00082083" w:rsidRPr="00285180" w:rsidRDefault="0053131D" w:rsidP="001A78EB">
            <w:pPr>
              <w:pStyle w:val="TableParagraph"/>
              <w:spacing w:before="37" w:line="205" w:lineRule="exact"/>
              <w:ind w:left="142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Three-Act Task L4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E010553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1D541502" w14:textId="77777777" w:rsidTr="00285180">
        <w:trPr>
          <w:trHeight w:val="566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95571E5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FE2216F" w14:textId="2DA306F5" w:rsidR="00082083" w:rsidRPr="00285180" w:rsidRDefault="00082083" w:rsidP="00E6106E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Tens and Ones to 15: </w:t>
            </w:r>
            <w:r w:rsidRPr="00285180">
              <w:rPr>
                <w:rFonts w:cstheme="minorHAnsi"/>
                <w:color w:val="231F20"/>
                <w:sz w:val="20"/>
              </w:rPr>
              <w:t>Represents amounts of tens and ones as two-digit numbers (U&amp;C); Describes observable changes in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>quantitative terms (C); Describes similarities and differences between sets in terms of quantity (C)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1299051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29249F8" w14:textId="77777777" w:rsidR="00082083" w:rsidRPr="00285180" w:rsidRDefault="0053131D" w:rsidP="00B33C26">
            <w:pPr>
              <w:pStyle w:val="TableParagraph"/>
              <w:spacing w:before="33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Would This Work? L5</w:t>
            </w:r>
          </w:p>
          <w:p w14:paraId="612C8110" w14:textId="77777777" w:rsidR="00082083" w:rsidRPr="00285180" w:rsidRDefault="0053131D" w:rsidP="00B33C26">
            <w:pPr>
              <w:pStyle w:val="TableParagraph"/>
              <w:spacing w:before="37" w:line="235" w:lineRule="exact"/>
              <w:ind w:left="14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[D] </w:t>
            </w:r>
            <w:r w:rsidR="00082083" w:rsidRPr="00285180">
              <w:rPr>
                <w:rFonts w:cstheme="minorHAnsi"/>
                <w:color w:val="231F20"/>
                <w:sz w:val="20"/>
              </w:rPr>
              <w:t>Build it; Sketch it; Write it L5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603814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2C934A0A" w14:textId="77777777" w:rsidTr="00285180">
        <w:trPr>
          <w:trHeight w:val="178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DB6BAFA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62FED14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A6CD1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7516C75D" w14:textId="77777777" w:rsidR="00082083" w:rsidRPr="00285180" w:rsidRDefault="0053131D" w:rsidP="00E6106E">
            <w:pPr>
              <w:pStyle w:val="TableParagraph"/>
              <w:spacing w:line="220" w:lineRule="exact"/>
              <w:ind w:left="142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[C] </w:t>
            </w:r>
            <w:r w:rsidR="00082083" w:rsidRPr="00285180">
              <w:rPr>
                <w:rFonts w:cstheme="minorHAnsi"/>
                <w:color w:val="231F20"/>
                <w:sz w:val="20"/>
              </w:rPr>
              <w:t>Get in Line! L6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EB3D17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29348EB1" w14:textId="77777777" w:rsidTr="00285180">
        <w:trPr>
          <w:trHeight w:val="519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298C1B54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6D1F20C8" w14:textId="7DA0E851" w:rsidR="00082083" w:rsidRPr="00285180" w:rsidRDefault="00082083" w:rsidP="00E6106E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Ordering Numbers: </w:t>
            </w:r>
            <w:proofErr w:type="spellStart"/>
            <w:r w:rsidRPr="00285180">
              <w:rPr>
                <w:rFonts w:cstheme="minorHAnsi"/>
                <w:color w:val="231F20"/>
                <w:sz w:val="20"/>
              </w:rPr>
              <w:t>Recognises</w:t>
            </w:r>
            <w:proofErr w:type="spellEnd"/>
            <w:r w:rsidRPr="00285180">
              <w:rPr>
                <w:rFonts w:cstheme="minorHAnsi"/>
                <w:color w:val="231F20"/>
                <w:sz w:val="20"/>
              </w:rPr>
              <w:t xml:space="preserve"> the use of ordinal numbers first, second, third, last in everyday life contexts (U&amp;C); Explains ordinality,</w:t>
            </w:r>
            <w:r w:rsidR="00E6106E">
              <w:rPr>
                <w:rFonts w:cstheme="minorHAnsi"/>
                <w:sz w:val="20"/>
              </w:rPr>
              <w:t xml:space="preserve"> </w:t>
            </w:r>
            <w:r w:rsidRPr="00285180">
              <w:rPr>
                <w:rFonts w:cstheme="minorHAnsi"/>
                <w:color w:val="231F20"/>
                <w:sz w:val="20"/>
              </w:rPr>
              <w:t>using the language of after, before and in-between (C)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3985FA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5FD5A242" w14:textId="538D512C" w:rsidR="00082083" w:rsidRPr="00285180" w:rsidRDefault="0053131D" w:rsidP="00B33C26">
            <w:pPr>
              <w:pStyle w:val="TableParagraph"/>
              <w:spacing w:before="18"/>
              <w:ind w:left="140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sz w:val="20"/>
                <w:szCs w:val="20"/>
              </w:rPr>
              <w:t xml:space="preserve">[C] </w:t>
            </w:r>
            <w:r w:rsidR="00082083" w:rsidRPr="00285180">
              <w:rPr>
                <w:rFonts w:cstheme="minorHAnsi"/>
                <w:color w:val="231F20"/>
                <w:sz w:val="20"/>
              </w:rPr>
              <w:t>Ordering Toys</w:t>
            </w:r>
            <w:r w:rsidR="001A78EB" w:rsidRPr="00285180">
              <w:rPr>
                <w:rFonts w:cstheme="minorHAnsi"/>
                <w:color w:val="231F20"/>
                <w:sz w:val="20"/>
              </w:rPr>
              <w:t xml:space="preserve"> </w:t>
            </w:r>
            <w:r w:rsidR="00082083" w:rsidRPr="00285180">
              <w:rPr>
                <w:rFonts w:cstheme="minorHAnsi"/>
                <w:color w:val="231F20"/>
                <w:sz w:val="20"/>
              </w:rPr>
              <w:t xml:space="preserve"> L6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BEA109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61743617" w14:textId="77777777" w:rsidTr="00285180">
        <w:trPr>
          <w:trHeight w:val="48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52ED85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6F039F" w14:textId="77777777" w:rsidR="00082083" w:rsidRPr="00285180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EAD1B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1C7C22FD" w14:textId="33833508" w:rsidR="00082083" w:rsidRPr="00285180" w:rsidRDefault="00082083" w:rsidP="00082083">
            <w:pPr>
              <w:pStyle w:val="TableParagraph"/>
              <w:spacing w:before="35" w:line="236" w:lineRule="exact"/>
              <w:ind w:left="64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>Print resources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56FEA7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29DD6AF1" w14:textId="77777777" w:rsidTr="00285180">
        <w:trPr>
          <w:trHeight w:val="257"/>
        </w:trPr>
        <w:tc>
          <w:tcPr>
            <w:tcW w:w="851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424C0000" w14:textId="77777777" w:rsidR="00082083" w:rsidRPr="00285180" w:rsidRDefault="00082083" w:rsidP="00082083">
            <w:pPr>
              <w:pStyle w:val="TableParagraph"/>
              <w:spacing w:line="223" w:lineRule="exact"/>
              <w:ind w:left="33"/>
              <w:jc w:val="center"/>
              <w:rPr>
                <w:rFonts w:cstheme="minorHAnsi"/>
                <w:b/>
                <w:sz w:val="20"/>
              </w:rPr>
            </w:pPr>
            <w:r w:rsidRPr="00285180">
              <w:rPr>
                <w:rFonts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492" w:type="dxa"/>
            <w:tcBorders>
              <w:top w:val="single" w:sz="8" w:space="0" w:color="F15A29"/>
              <w:left w:val="single" w:sz="8" w:space="0" w:color="F15A29"/>
              <w:bottom w:val="nil"/>
              <w:right w:val="single" w:sz="8" w:space="0" w:color="F15A29"/>
            </w:tcBorders>
          </w:tcPr>
          <w:p w14:paraId="78A8CC33" w14:textId="77777777" w:rsidR="00082083" w:rsidRPr="00285180" w:rsidRDefault="00082083" w:rsidP="00082083">
            <w:pPr>
              <w:pStyle w:val="TableParagraph"/>
              <w:spacing w:line="223" w:lineRule="exact"/>
              <w:ind w:left="63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b/>
                <w:color w:val="231F20"/>
                <w:sz w:val="20"/>
              </w:rPr>
              <w:t xml:space="preserve">Review and Reflect: </w:t>
            </w:r>
            <w:r w:rsidRPr="00285180">
              <w:rPr>
                <w:rFonts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979" w:type="dxa"/>
            <w:vMerge w:val="restart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EAEB650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F950996" w14:textId="5E685E9F" w:rsidR="00082083" w:rsidRPr="00285180" w:rsidRDefault="00082083" w:rsidP="00082083">
            <w:pPr>
              <w:pStyle w:val="TableParagraph"/>
              <w:spacing w:before="2" w:line="235" w:lineRule="exact"/>
              <w:ind w:left="64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color w:val="231F20"/>
                <w:sz w:val="20"/>
              </w:rPr>
              <w:t>Pupil’s Book pages 25–30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39D6FF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15E21ED5" w14:textId="77777777" w:rsidTr="00285180">
        <w:trPr>
          <w:trHeight w:val="258"/>
        </w:trPr>
        <w:tc>
          <w:tcPr>
            <w:tcW w:w="85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E5C5DF8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288DB256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EFF4C68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nil"/>
              <w:right w:val="single" w:sz="8" w:space="0" w:color="F15A29"/>
            </w:tcBorders>
          </w:tcPr>
          <w:p w14:paraId="03231058" w14:textId="38E12817" w:rsidR="00082083" w:rsidRPr="00285180" w:rsidRDefault="00082083" w:rsidP="00082083">
            <w:pPr>
              <w:pStyle w:val="TableParagraph"/>
              <w:spacing w:before="3" w:line="235" w:lineRule="exact"/>
              <w:ind w:left="64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color w:val="231F20"/>
                <w:sz w:val="20"/>
              </w:rPr>
              <w:t>Home/School Links Book pages 14–15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36BC49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082083" w:rsidRPr="002F4F31" w14:paraId="5E0F47F1" w14:textId="77777777" w:rsidTr="00285180">
        <w:trPr>
          <w:trHeight w:val="80"/>
        </w:trPr>
        <w:tc>
          <w:tcPr>
            <w:tcW w:w="85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EC5818F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8492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A081CEC" w14:textId="77777777" w:rsidR="00082083" w:rsidRPr="002F4F31" w:rsidRDefault="00082083" w:rsidP="00082083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4A58A2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3722F4" w14:textId="17E8A4B5" w:rsidR="00082083" w:rsidRPr="00285180" w:rsidRDefault="00082083" w:rsidP="00082083">
            <w:pPr>
              <w:pStyle w:val="TableParagraph"/>
              <w:spacing w:before="3"/>
              <w:ind w:left="64"/>
              <w:rPr>
                <w:rFonts w:cstheme="minorHAnsi"/>
                <w:sz w:val="20"/>
              </w:rPr>
            </w:pPr>
            <w:r w:rsidRPr="00285180">
              <w:rPr>
                <w:rFonts w:cstheme="minorHAnsi"/>
                <w:color w:val="231F20"/>
                <w:sz w:val="20"/>
              </w:rPr>
              <w:t>PCMs 13–14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544DE42" w14:textId="77777777" w:rsidR="00082083" w:rsidRPr="002F4F31" w:rsidRDefault="00082083" w:rsidP="00082083">
            <w:pPr>
              <w:rPr>
                <w:rFonts w:cstheme="minorHAnsi"/>
                <w:sz w:val="2"/>
                <w:szCs w:val="2"/>
              </w:rPr>
            </w:pPr>
          </w:p>
        </w:tc>
      </w:tr>
    </w:tbl>
    <w:p w14:paraId="48B9CE01" w14:textId="77777777" w:rsidR="00EE444F" w:rsidRPr="00285180" w:rsidRDefault="00EE444F" w:rsidP="00EE444F">
      <w:pPr>
        <w:pStyle w:val="BodyText"/>
        <w:spacing w:line="230" w:lineRule="auto"/>
        <w:ind w:left="2311" w:right="2224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167"/>
      </w:tblGrid>
      <w:tr w:rsidR="00EE444F" w:rsidRPr="00F0664D" w14:paraId="58082091" w14:textId="77777777" w:rsidTr="00EE444F">
        <w:tc>
          <w:tcPr>
            <w:tcW w:w="15167" w:type="dxa"/>
            <w:shd w:val="clear" w:color="auto" w:fill="FFF1D0"/>
          </w:tcPr>
          <w:p w14:paraId="1B20E544" w14:textId="77777777" w:rsidR="00EE444F" w:rsidRPr="00F0664D" w:rsidRDefault="00EE444F" w:rsidP="00EE444F">
            <w:pPr>
              <w:pStyle w:val="BodyText"/>
              <w:spacing w:line="250" w:lineRule="auto"/>
              <w:rPr>
                <w:rFonts w:asciiTheme="minorHAnsi" w:hAnsiTheme="minorHAnsi" w:cstheme="minorHAnsi"/>
              </w:rPr>
            </w:pPr>
            <w:r w:rsidRPr="001A27BC">
              <w:rPr>
                <w:rFonts w:asciiTheme="minorHAnsi" w:hAnsiTheme="minorHAnsi" w:cstheme="minorHAnsi"/>
                <w:b/>
                <w:color w:val="F15A29"/>
              </w:rPr>
              <w:t>Key:</w:t>
            </w:r>
            <w:r w:rsidRPr="00575E65">
              <w:rPr>
                <w:rFonts w:asciiTheme="minorHAnsi" w:hAnsiTheme="minorHAnsi" w:cstheme="minorHAnsi"/>
                <w:b/>
                <w:color w:val="F15A29"/>
                <w:spacing w:val="-4"/>
                <w:w w:val="75"/>
              </w:rPr>
              <w:t xml:space="preserve"> </w:t>
            </w:r>
            <w:r w:rsidRPr="00F0664D">
              <w:rPr>
                <w:rFonts w:asciiTheme="minorHAnsi" w:hAnsiTheme="minorHAnsi" w:cstheme="minorHAnsi"/>
                <w:b/>
              </w:rPr>
              <w:t>Elements:</w:t>
            </w:r>
            <w:r w:rsidRPr="00F0664D">
              <w:rPr>
                <w:rFonts w:asciiTheme="minorHAnsi" w:hAnsiTheme="minorHAnsi" w:cstheme="minorHAnsi"/>
              </w:rPr>
              <w:t xml:space="preserve"> (U&amp;C) Understanding and Connecting; (C) Communicating; (R) Reasoning; (A&amp;PS) Applying and Problem-Solving. </w:t>
            </w:r>
            <w:r w:rsidRPr="00F0664D">
              <w:rPr>
                <w:rFonts w:asciiTheme="minorHAnsi" w:hAnsiTheme="minorHAnsi" w:cstheme="minorHAnsi"/>
                <w:b/>
              </w:rPr>
              <w:t xml:space="preserve">CM: </w:t>
            </w:r>
            <w:proofErr w:type="spellStart"/>
            <w:r w:rsidRPr="00F0664D">
              <w:rPr>
                <w:rFonts w:asciiTheme="minorHAnsi" w:hAnsiTheme="minorHAnsi" w:cstheme="minorHAnsi"/>
                <w:b/>
              </w:rPr>
              <w:t>Cuntas</w:t>
            </w:r>
            <w:proofErr w:type="spellEnd"/>
            <w:r w:rsidRPr="00F0664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0664D">
              <w:rPr>
                <w:rFonts w:asciiTheme="minorHAnsi" w:hAnsiTheme="minorHAnsi" w:cstheme="minorHAnsi"/>
                <w:b/>
              </w:rPr>
              <w:t>Míosúil</w:t>
            </w:r>
            <w:proofErr w:type="spellEnd"/>
            <w:r w:rsidRPr="00F0664D">
              <w:rPr>
                <w:rFonts w:asciiTheme="minorHAnsi" w:hAnsiTheme="minorHAnsi" w:cstheme="minorHAnsi"/>
                <w:b/>
              </w:rPr>
              <w:t>:</w:t>
            </w:r>
            <w:r w:rsidRPr="00F0664D">
              <w:rPr>
                <w:rFonts w:asciiTheme="minorHAnsi" w:hAnsiTheme="minorHAnsi" w:cstheme="minorHAnsi"/>
              </w:rPr>
              <w:t xml:space="preserve"> please tick when you have completed the focus of learning. </w:t>
            </w:r>
            <w:r w:rsidRPr="00F0664D">
              <w:rPr>
                <w:rFonts w:asciiTheme="minorHAnsi" w:hAnsiTheme="minorHAnsi" w:cstheme="minorHAnsi"/>
                <w:b/>
              </w:rPr>
              <w:t>Learning Experiences:</w:t>
            </w:r>
            <w:r w:rsidRPr="00F0664D">
              <w:rPr>
                <w:rFonts w:asciiTheme="minorHAnsi" w:hAnsiTheme="minorHAnsi" w:cstheme="minorHAnsi"/>
              </w:rPr>
              <w:t xml:space="preserve"> [C] concrete activity; [D] digital activity; [P] activity based on printed materials, followed by lesson numbers.</w:t>
            </w:r>
          </w:p>
        </w:tc>
      </w:tr>
    </w:tbl>
    <w:p w14:paraId="74F4EE0F" w14:textId="77777777" w:rsidR="00B33C26" w:rsidRPr="002C4349" w:rsidRDefault="00B33C26" w:rsidP="00285180">
      <w:pPr>
        <w:pStyle w:val="BodyText"/>
        <w:spacing w:line="249" w:lineRule="auto"/>
        <w:ind w:right="-15"/>
        <w:rPr>
          <w:rFonts w:asciiTheme="minorHAnsi" w:hAnsiTheme="minorHAnsi" w:cstheme="minorHAnsi"/>
        </w:rPr>
      </w:pPr>
    </w:p>
    <w:sectPr w:rsidR="00B33C26" w:rsidRPr="002C4349" w:rsidSect="008642CE">
      <w:headerReference w:type="default" r:id="rId7"/>
      <w:type w:val="continuous"/>
      <w:pgSz w:w="16839" w:h="11907" w:orient="landscape" w:code="9"/>
      <w:pgMar w:top="0" w:right="360" w:bottom="0" w:left="3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9B00" w14:textId="77777777" w:rsidR="004F3959" w:rsidRDefault="004F3959" w:rsidP="00D25D16">
      <w:r>
        <w:separator/>
      </w:r>
    </w:p>
  </w:endnote>
  <w:endnote w:type="continuationSeparator" w:id="0">
    <w:p w14:paraId="3B8BC6A8" w14:textId="77777777" w:rsidR="004F3959" w:rsidRDefault="004F3959" w:rsidP="00D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9ABC0" w14:textId="77777777" w:rsidR="004F3959" w:rsidRDefault="004F3959" w:rsidP="00D25D16">
      <w:r>
        <w:separator/>
      </w:r>
    </w:p>
  </w:footnote>
  <w:footnote w:type="continuationSeparator" w:id="0">
    <w:p w14:paraId="480E596F" w14:textId="77777777" w:rsidR="004F3959" w:rsidRDefault="004F3959" w:rsidP="00D2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F8F0" w14:textId="77777777" w:rsidR="00D25D16" w:rsidRPr="00AF5414" w:rsidRDefault="00D25D16" w:rsidP="00D25D16">
    <w:pPr>
      <w:pStyle w:val="Header"/>
      <w:tabs>
        <w:tab w:val="left" w:pos="9540"/>
      </w:tabs>
      <w:rPr>
        <w:rFonts w:cstheme="minorHAnsi"/>
      </w:rPr>
    </w:pPr>
    <w:r w:rsidRPr="00AC59AC">
      <w:rPr>
        <w:rFonts w:cstheme="minorHAnsi"/>
        <w:b/>
        <w:bCs/>
        <w:color w:val="000000" w:themeColor="text1"/>
      </w:rPr>
      <w:t>Maths and Me:</w:t>
    </w:r>
    <w:r w:rsidRPr="008A71E1">
      <w:rPr>
        <w:rFonts w:cstheme="minorHAnsi"/>
        <w:color w:val="000000" w:themeColor="text1"/>
      </w:rPr>
      <w:t xml:space="preserve"> </w:t>
    </w:r>
    <w:r w:rsidRPr="00D25D16">
      <w:rPr>
        <w:rFonts w:cstheme="minorHAnsi"/>
      </w:rPr>
      <w:t>Senior Infants</w:t>
    </w:r>
    <w:r w:rsidRPr="00544682">
      <w:rPr>
        <w:rFonts w:cstheme="minorHAnsi"/>
      </w:rPr>
      <w:t xml:space="preserve"> </w:t>
    </w:r>
    <w:r w:rsidRPr="008A71E1">
      <w:rPr>
        <w:rFonts w:cstheme="minorHAnsi"/>
        <w:color w:val="000000" w:themeColor="text1"/>
      </w:rPr>
      <w:t>– Short-Term Plan</w:t>
    </w:r>
    <w:r w:rsidRPr="008A71E1">
      <w:rPr>
        <w:rFonts w:cstheme="minorHAnsi"/>
        <w:color w:val="000000" w:themeColor="text1"/>
      </w:rPr>
      <w:tab/>
    </w:r>
    <w:r w:rsidRPr="008A71E1">
      <w:rPr>
        <w:rFonts w:cstheme="minorHAnsi"/>
        <w:color w:val="000000" w:themeColor="text1"/>
      </w:rPr>
      <w:tab/>
    </w:r>
    <w:r w:rsidRPr="008A71E1">
      <w:rPr>
        <w:rFonts w:cstheme="minorHAnsi"/>
        <w:color w:val="000000" w:themeColor="text1"/>
      </w:rPr>
      <w:tab/>
    </w:r>
    <w:r w:rsidRPr="00AC59AC">
      <w:rPr>
        <w:rFonts w:cstheme="minorHAnsi"/>
        <w:b/>
        <w:bCs/>
        <w:color w:val="000000" w:themeColor="text1"/>
      </w:rPr>
      <w:t xml:space="preserve">Teacher </w:t>
    </w:r>
    <w:r w:rsidRPr="00AC59AC">
      <w:rPr>
        <w:rFonts w:cstheme="minorHAnsi"/>
        <w:b/>
        <w:bCs/>
        <w:lang w:val="en-GB"/>
      </w:rPr>
      <w:t>Name:</w:t>
    </w:r>
    <w:r w:rsidRPr="008A71E1">
      <w:rPr>
        <w:rFonts w:cstheme="minorHAnsi"/>
        <w:lang w:val="en-GB"/>
      </w:rPr>
      <w:t xml:space="preserve"> ______________ </w:t>
    </w:r>
    <w:r w:rsidRPr="00AC59AC">
      <w:rPr>
        <w:rFonts w:cstheme="minorHAnsi"/>
        <w:b/>
        <w:bCs/>
        <w:lang w:val="en-GB"/>
      </w:rPr>
      <w:t>Date:</w:t>
    </w:r>
    <w:r w:rsidRPr="008A71E1">
      <w:rPr>
        <w:rFonts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A436E"/>
    <w:multiLevelType w:val="hybridMultilevel"/>
    <w:tmpl w:val="2E26F7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1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38"/>
    <w:rsid w:val="00013506"/>
    <w:rsid w:val="000248A4"/>
    <w:rsid w:val="000254F6"/>
    <w:rsid w:val="000308E6"/>
    <w:rsid w:val="00066FF8"/>
    <w:rsid w:val="00075CFF"/>
    <w:rsid w:val="00082083"/>
    <w:rsid w:val="000A7738"/>
    <w:rsid w:val="000E7411"/>
    <w:rsid w:val="001930B8"/>
    <w:rsid w:val="001A27BC"/>
    <w:rsid w:val="001A6DF0"/>
    <w:rsid w:val="001A78EB"/>
    <w:rsid w:val="00285180"/>
    <w:rsid w:val="002C7E55"/>
    <w:rsid w:val="002E45EB"/>
    <w:rsid w:val="002F4F31"/>
    <w:rsid w:val="00382DF9"/>
    <w:rsid w:val="0046194C"/>
    <w:rsid w:val="00471638"/>
    <w:rsid w:val="004E0882"/>
    <w:rsid w:val="004F3959"/>
    <w:rsid w:val="0053131D"/>
    <w:rsid w:val="00575E65"/>
    <w:rsid w:val="005C52AB"/>
    <w:rsid w:val="005E668B"/>
    <w:rsid w:val="006B7810"/>
    <w:rsid w:val="006D34E4"/>
    <w:rsid w:val="006F322A"/>
    <w:rsid w:val="00792908"/>
    <w:rsid w:val="007A323F"/>
    <w:rsid w:val="007B0E51"/>
    <w:rsid w:val="00851211"/>
    <w:rsid w:val="008636BC"/>
    <w:rsid w:val="008642CE"/>
    <w:rsid w:val="008F0933"/>
    <w:rsid w:val="009437B9"/>
    <w:rsid w:val="00944718"/>
    <w:rsid w:val="00952CA6"/>
    <w:rsid w:val="00955BDC"/>
    <w:rsid w:val="00A352AE"/>
    <w:rsid w:val="00A6694F"/>
    <w:rsid w:val="00A90BF6"/>
    <w:rsid w:val="00AC1645"/>
    <w:rsid w:val="00AC4317"/>
    <w:rsid w:val="00B207CF"/>
    <w:rsid w:val="00B33C26"/>
    <w:rsid w:val="00B5347D"/>
    <w:rsid w:val="00B90118"/>
    <w:rsid w:val="00C632DE"/>
    <w:rsid w:val="00C76AEF"/>
    <w:rsid w:val="00CD5DA5"/>
    <w:rsid w:val="00CE0FB2"/>
    <w:rsid w:val="00D00D5A"/>
    <w:rsid w:val="00D04579"/>
    <w:rsid w:val="00D25D16"/>
    <w:rsid w:val="00DE15DC"/>
    <w:rsid w:val="00E25220"/>
    <w:rsid w:val="00E27647"/>
    <w:rsid w:val="00E6106E"/>
    <w:rsid w:val="00EE444F"/>
    <w:rsid w:val="00F1336C"/>
    <w:rsid w:val="00F23676"/>
    <w:rsid w:val="00F3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BC9FF"/>
  <w15:docId w15:val="{4B2E6AEF-D1CF-4860-AA3A-889E09BB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sid w:val="008636BC"/>
    <w:rPr>
      <w:rFonts w:eastAsia="Tahoma" w:cs="Tahoma"/>
    </w:rPr>
  </w:style>
  <w:style w:type="table" w:styleId="TableGrid">
    <w:name w:val="Table Grid"/>
    <w:basedOn w:val="TableNormal"/>
    <w:uiPriority w:val="39"/>
    <w:rsid w:val="00A352AE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352AE"/>
    <w:rPr>
      <w:rFonts w:ascii="Tahoma" w:eastAsia="Times New Roman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352AE"/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5D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D16"/>
  </w:style>
  <w:style w:type="paragraph" w:styleId="Footer">
    <w:name w:val="footer"/>
    <w:basedOn w:val="Normal"/>
    <w:link w:val="FooterChar"/>
    <w:uiPriority w:val="99"/>
    <w:unhideWhenUsed/>
    <w:rsid w:val="00D25D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D16"/>
  </w:style>
  <w:style w:type="paragraph" w:styleId="Title">
    <w:name w:val="Title"/>
    <w:basedOn w:val="Normal"/>
    <w:link w:val="TitleChar"/>
    <w:uiPriority w:val="1"/>
    <w:qFormat/>
    <w:rsid w:val="00EE444F"/>
    <w:pPr>
      <w:spacing w:before="1"/>
      <w:ind w:right="382"/>
      <w:jc w:val="right"/>
    </w:pPr>
    <w:rPr>
      <w:rFonts w:ascii="Arial Black" w:eastAsia="Arial Black" w:hAnsi="Arial Black" w:cs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E444F"/>
    <w:rPr>
      <w:rFonts w:ascii="Arial Black" w:eastAsia="Arial Black" w:hAnsi="Arial Black" w:cs="Arial Blac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damodaran KG.</dc:creator>
  <cp:lastModifiedBy>Louise Merrigan</cp:lastModifiedBy>
  <cp:revision>2</cp:revision>
  <cp:lastPrinted>2024-09-06T14:32:00Z</cp:lastPrinted>
  <dcterms:created xsi:type="dcterms:W3CDTF">2024-10-07T10:30:00Z</dcterms:created>
  <dcterms:modified xsi:type="dcterms:W3CDTF">2024-10-07T10:30:00Z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311141640</vt:i4>
  </property>
  <property fmtid="{D5CDD505-2E9C-101B-9397-08002B2CF9AE}" pid="7" name="_NewReviewCycle">
    <vt:lpwstr/>
  </property>
  <property fmtid="{D5CDD505-2E9C-101B-9397-08002B2CF9AE}" pid="8" name="_EmailSubject">
    <vt:lpwstr>Files for Release 6</vt:lpwstr>
  </property>
  <property fmtid="{D5CDD505-2E9C-101B-9397-08002B2CF9AE}" pid="9" name="_AuthorEmail">
    <vt:lpwstr>Louise.Merrigan@edco.ie</vt:lpwstr>
  </property>
  <property fmtid="{D5CDD505-2E9C-101B-9397-08002B2CF9AE}" pid="10" name="_AuthorEmailDisplayName">
    <vt:lpwstr>Louise Merrigan</vt:lpwstr>
  </property>
</Properties>
</file>