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5C7408BD" w14:textId="10115709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</w:t>
      </w:r>
      <w:r w:rsidR="005C72B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8: </w:t>
      </w:r>
      <w:r w:rsidR="0051671B" w:rsidRPr="0051671B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Numbers to 20 </w:t>
      </w:r>
      <w:r w:rsidR="005C72B0">
        <w:rPr>
          <w:rFonts w:asciiTheme="minorHAnsi" w:hAnsiTheme="minorHAnsi" w:cstheme="minorHAnsi"/>
          <w:b/>
          <w:color w:val="F05A29"/>
          <w:sz w:val="24"/>
          <w:szCs w:val="24"/>
        </w:rPr>
        <w:t>(</w:t>
      </w: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>January Weeks 1&amp;2)</w:t>
      </w:r>
    </w:p>
    <w:p w14:paraId="6A802954" w14:textId="77777777" w:rsidR="00184470" w:rsidRPr="0076734E" w:rsidRDefault="00184470" w:rsidP="00184470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5A49A099" w:rsidR="00184470" w:rsidRPr="0076734E" w:rsidRDefault="0051671B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Number &gt; Place Value and Base Ten; Numeration and Counting</w:t>
            </w:r>
            <w:r w:rsidR="00C506CB">
              <w:rPr>
                <w:rFonts w:asciiTheme="minorHAnsi" w:hAnsiTheme="minorHAnsi" w:cstheme="minorHAnsi"/>
                <w:color w:val="231F20"/>
                <w:sz w:val="20"/>
              </w:rPr>
              <w:t>; Uses of Number. Algebra &gt; Patterns, Rules and Relationships.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6C6DB4DD" w:rsidR="00184470" w:rsidRPr="0076734E" w:rsidRDefault="0051671B" w:rsidP="00C506CB">
            <w:pPr>
              <w:widowControl/>
              <w:spacing w:before="100"/>
              <w:contextualSpacing/>
              <w:rPr>
                <w:rFonts w:asciiTheme="minorHAnsi" w:hAnsiTheme="minorHAnsi" w:cstheme="minorHAnsi"/>
              </w:rPr>
            </w:pPr>
            <w:r w:rsidRPr="00C506CB">
              <w:rPr>
                <w:rFonts w:asciiTheme="minorHAnsi" w:hAnsiTheme="minorHAnsi" w:cstheme="minorHAnsi"/>
                <w:color w:val="231F20"/>
                <w:sz w:val="20"/>
              </w:rPr>
              <w:t xml:space="preserve">Through appropriately playful and engaging learning experiences children should be able to 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>develop a sense of ten as the foundation for place value and counting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>develop an awareness that the purpose of counting is to quantify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>use a range of counting strategies for a range of purposes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>develop an awareness that numbers have a variety of uses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C506CB" w:rsidRPr="00C506CB">
              <w:rPr>
                <w:rFonts w:asciiTheme="minorHAnsi" w:hAnsiTheme="minorHAnsi" w:cstheme="minorHAnsi"/>
                <w:color w:val="231F20"/>
                <w:sz w:val="20"/>
              </w:rPr>
              <w:t>explore, recognise and create patterns and sequences.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10"/>
        <w:gridCol w:w="708"/>
        <w:gridCol w:w="3261"/>
        <w:gridCol w:w="2000"/>
      </w:tblGrid>
      <w:tr w:rsidR="0034338A" w:rsidRPr="005D6D25" w14:paraId="49411B8D" w14:textId="77777777" w:rsidTr="004213E5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51671B">
        <w:trPr>
          <w:trHeight w:val="846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78CD26D4" w:rsidR="0034338A" w:rsidRPr="005D6D25" w:rsidRDefault="0051671B" w:rsidP="0051671B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15: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Counts forwards and backwards within 20, and beyond (U&amp;C); Reads, writes and orders numerals up to at least 15 (U&amp;C); Composes and decomposes the structure of numbers 11−15 in terms of tens and ones (U&amp;C)</w:t>
            </w:r>
          </w:p>
        </w:tc>
        <w:tc>
          <w:tcPr>
            <w:tcW w:w="70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E739381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72EE8C2F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Reason &amp; Respond L1–5</w:t>
            </w:r>
          </w:p>
          <w:p w14:paraId="4484DC7D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Think-Pair-Share L1–5</w:t>
            </w:r>
          </w:p>
          <w:p w14:paraId="380B732A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[C] Build it; Sketch it; Write it L1</w:t>
            </w:r>
          </w:p>
          <w:p w14:paraId="2A4DDE3D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[C] Class discussion: Bigger than 10 L1</w:t>
            </w:r>
          </w:p>
          <w:p w14:paraId="085384AF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Quick Images L2–3</w:t>
            </w:r>
          </w:p>
          <w:p w14:paraId="0715DBBC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Write-Hide-Show L2–3</w:t>
            </w:r>
          </w:p>
          <w:p w14:paraId="6C9B6A93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[C] Show Me! L2, 4</w:t>
            </w:r>
          </w:p>
          <w:p w14:paraId="21547AD9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[C] Build It! L2–4</w:t>
            </w:r>
          </w:p>
          <w:p w14:paraId="40F98A9C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Choral Counting L3–5</w:t>
            </w:r>
          </w:p>
          <w:p w14:paraId="404749DB" w14:textId="77777777" w:rsidR="0051671B" w:rsidRP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[P] Ordering Numbers 16−20 L4</w:t>
            </w:r>
          </w:p>
          <w:p w14:paraId="15C23F9C" w14:textId="77777777" w:rsidR="0051671B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Would This Work? L4</w:t>
            </w:r>
          </w:p>
          <w:p w14:paraId="03787F5F" w14:textId="204BC49B" w:rsidR="005E7C0B" w:rsidRPr="005D6D25" w:rsidRDefault="0051671B" w:rsidP="0051671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1671B">
              <w:rPr>
                <w:rFonts w:asciiTheme="minorHAnsi" w:hAnsiTheme="minorHAnsi" w:cstheme="minorHAnsi"/>
                <w:sz w:val="20"/>
                <w:szCs w:val="20"/>
              </w:rPr>
              <w:t>[D] Three-Act Task L5</w:t>
            </w:r>
          </w:p>
          <w:p w14:paraId="51A2192C" w14:textId="77777777" w:rsidR="0051671B" w:rsidRDefault="0051671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6CA1D925" w14:textId="580EFA38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CF20360" w14:textId="77777777" w:rsidR="0051671B" w:rsidRPr="0051671B" w:rsidRDefault="0051671B" w:rsidP="0051671B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Pupil’s Book pages 43–49</w:t>
            </w:r>
          </w:p>
          <w:p w14:paraId="18144CB7" w14:textId="3B782FF9" w:rsidR="0034338A" w:rsidRPr="005D6D25" w:rsidRDefault="0051671B" w:rsidP="0051671B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Home/School Links Book page 21–22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F0E1AC8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262074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673FDD1C" w14:textId="77777777" w:rsidR="0051671B" w:rsidRPr="0051671B" w:rsidRDefault="00750C52" w:rsidP="0051671B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="0051671B" w:rsidRPr="0051671B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181258D6" w14:textId="77777777" w:rsidR="0051671B" w:rsidRPr="0051671B" w:rsidRDefault="0051671B" w:rsidP="0051671B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12E6BF2B" w14:textId="77777777" w:rsidR="0051671B" w:rsidRPr="0051671B" w:rsidRDefault="0051671B" w:rsidP="0051671B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2AE62242" w14:textId="142C312A" w:rsidR="0034338A" w:rsidRPr="005D6D25" w:rsidRDefault="0051671B" w:rsidP="0051671B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9BCF86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44A78F8" w14:textId="77777777" w:rsidR="0034338A" w:rsidRPr="005D6D25" w:rsidRDefault="0034338A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2953DA09" w14:textId="77777777" w:rsidR="0051671B" w:rsidRPr="0051671B" w:rsidRDefault="00750C52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51671B" w:rsidRPr="0051671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10E061D1" w14:textId="77777777" w:rsidR="0051671B" w:rsidRPr="0051671B" w:rsidRDefault="0051671B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0B153A8A" w14:textId="77777777" w:rsidR="0051671B" w:rsidRPr="0051671B" w:rsidRDefault="0051671B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487368AB" w14:textId="77777777" w:rsidR="0051671B" w:rsidRPr="0051671B" w:rsidRDefault="0051671B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E834C3B" w14:textId="77777777" w:rsidR="0051671B" w:rsidRPr="0051671B" w:rsidRDefault="0051671B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780FA3DF" w14:textId="5E101A52" w:rsidR="0034338A" w:rsidRPr="005D6D25" w:rsidRDefault="0051671B" w:rsidP="0051671B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color w:val="231F20"/>
                <w:sz w:val="20"/>
              </w:rPr>
              <w:t>pages 18–19</w:t>
            </w:r>
          </w:p>
        </w:tc>
      </w:tr>
      <w:tr w:rsidR="0034338A" w:rsidRPr="005D6D25" w14:paraId="459ABCC0" w14:textId="77777777" w:rsidTr="0051671B">
        <w:trPr>
          <w:trHeight w:val="1108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B49777" w14:textId="319CFED7" w:rsidR="0051671B" w:rsidRPr="0051671B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17: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Recalls the number sequence forwards and backwards, between zero and least 20, from any given number (U&amp;C); Reads, writes and orders numerals up to at least 17 (U&amp;C); Composes and decomposes the structure of numbers 16 and 17 in terms of</w:t>
            </w:r>
          </w:p>
          <w:p w14:paraId="77E434C2" w14:textId="41235A57" w:rsidR="0034338A" w:rsidRPr="005E7C0B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tens and ones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51671B">
        <w:trPr>
          <w:trHeight w:val="968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B563B1" w14:textId="795D18C9" w:rsidR="0051671B" w:rsidRPr="0051671B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19: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Reads, writes and orders numerals up to at least 19 (U&amp;C); Explores mathematical representation (manipulatives and/or pictorially) of tens and ones (C); Composes and decomposes the structure of numbers 18 and 19 in terms of tens and ones (U&amp;C);</w:t>
            </w:r>
          </w:p>
          <w:p w14:paraId="4F7BF924" w14:textId="41BE739D" w:rsidR="0034338A" w:rsidRPr="005D6D25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Discusses the groupings of tens (and ones left over) (C)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5432EED0" w14:textId="77777777" w:rsidTr="0051671B">
        <w:trPr>
          <w:trHeight w:val="126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FE48A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35EB10" w14:textId="71817700" w:rsidR="0034338A" w:rsidRPr="005D6D25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20: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Reads, writes and orders numerals up to at least 20 (U&amp;C); Demonstrates an ability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to </w:t>
            </w:r>
            <w:proofErr w:type="spellStart"/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subitise</w:t>
            </w:r>
            <w:proofErr w:type="spellEnd"/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various arrangements or models of numbers to 20 (U&amp;C); Investigates various arrangements (for example: on ten frames) of manipulatives to prompt different mental images of numbers up to 20, while developing a sense of each number (R); Orders and compares numbers 1−20 with each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other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8787BA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6EA5EA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FD67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03C8ABF" w14:textId="77777777" w:rsidTr="005E7C0B">
        <w:trPr>
          <w:trHeight w:val="749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0972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2803D" w14:textId="0112947F" w:rsidR="0034338A" w:rsidRPr="005D6D25" w:rsidRDefault="0051671B" w:rsidP="0051671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How Many?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uses appropriate materials to make a variety of sets (A&amp;PS); Uses a range of counting strategies to determine quantities and justifies their efficiency (A&amp;PS)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EE874B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C907A3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36C55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C718607" w14:textId="77777777" w:rsidTr="004213E5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A37E73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370368" w14:textId="65317EEE" w:rsidR="0034338A" w:rsidRPr="005D6D25" w:rsidRDefault="0051671B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167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1671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8A698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0059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425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6070E202" w14:textId="77777777" w:rsidTr="005E7C0B">
        <w:trPr>
          <w:trHeight w:val="439"/>
          <w:jc w:val="center"/>
        </w:trPr>
        <w:tc>
          <w:tcPr>
            <w:tcW w:w="9260" w:type="dxa"/>
            <w:gridSpan w:val="2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7144BC" w14:textId="77777777" w:rsidR="0034338A" w:rsidRPr="005D6D25" w:rsidRDefault="00750C5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Additional Notes: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669AF8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F53D82F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9976D6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4213E5" w14:paraId="19211F81" w14:textId="77777777" w:rsidTr="004213E5">
        <w:trPr>
          <w:trHeight w:val="619"/>
          <w:jc w:val="center"/>
        </w:trPr>
        <w:tc>
          <w:tcPr>
            <w:tcW w:w="152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77777777" w:rsidR="0034338A" w:rsidRPr="005D6D25" w:rsidRDefault="0034338A" w:rsidP="005E7C0B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8C6E" w14:textId="77777777" w:rsidR="00084848" w:rsidRDefault="00084848" w:rsidP="00184470">
      <w:r>
        <w:separator/>
      </w:r>
    </w:p>
  </w:endnote>
  <w:endnote w:type="continuationSeparator" w:id="0">
    <w:p w14:paraId="6539FDF1" w14:textId="77777777" w:rsidR="00084848" w:rsidRDefault="00084848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BD0F" w14:textId="77777777" w:rsidR="00084848" w:rsidRDefault="00084848" w:rsidP="00184470">
      <w:r>
        <w:separator/>
      </w:r>
    </w:p>
  </w:footnote>
  <w:footnote w:type="continuationSeparator" w:id="0">
    <w:p w14:paraId="30389226" w14:textId="77777777" w:rsidR="00084848" w:rsidRDefault="00084848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5FC6" w14:textId="185FE666" w:rsidR="00184470" w:rsidRPr="0051671B" w:rsidRDefault="0051671B" w:rsidP="0051671B">
    <w:pPr>
      <w:pStyle w:val="Header"/>
    </w:pPr>
    <w:r w:rsidRPr="0051671B">
      <w:rPr>
        <w:rFonts w:asciiTheme="minorHAnsi" w:hAnsiTheme="minorHAnsi" w:cstheme="minorHAnsi"/>
        <w:b/>
        <w:bCs/>
        <w:color w:val="000000" w:themeColor="text1"/>
      </w:rPr>
      <w:t>Maths and Me: Senior Infants – Short-Term Plan</w:t>
    </w:r>
    <w:r w:rsidRPr="0051671B">
      <w:rPr>
        <w:rFonts w:asciiTheme="minorHAnsi" w:hAnsiTheme="minorHAnsi" w:cstheme="minorHAnsi"/>
        <w:b/>
        <w:bCs/>
        <w:color w:val="000000" w:themeColor="text1"/>
      </w:rPr>
      <w:tab/>
    </w:r>
    <w:r w:rsidRPr="0051671B">
      <w:rPr>
        <w:rFonts w:asciiTheme="minorHAnsi" w:hAnsiTheme="minorHAnsi" w:cstheme="minorHAnsi"/>
        <w:b/>
        <w:bCs/>
        <w:color w:val="000000" w:themeColor="text1"/>
      </w:rPr>
      <w:tab/>
    </w:r>
    <w:r w:rsidRPr="0051671B">
      <w:rPr>
        <w:rFonts w:asciiTheme="minorHAnsi" w:hAnsiTheme="minorHAnsi" w:cstheme="minorHAnsi"/>
        <w:b/>
        <w:bCs/>
        <w:color w:val="000000" w:themeColor="text1"/>
      </w:rPr>
      <w:tab/>
    </w:r>
    <w:r>
      <w:rPr>
        <w:rFonts w:asciiTheme="minorHAnsi" w:hAnsiTheme="minorHAnsi" w:cstheme="minorHAnsi"/>
        <w:b/>
        <w:bCs/>
        <w:color w:val="000000" w:themeColor="text1"/>
      </w:rPr>
      <w:tab/>
    </w:r>
    <w:r>
      <w:rPr>
        <w:rFonts w:asciiTheme="minorHAnsi" w:hAnsiTheme="minorHAnsi" w:cstheme="minorHAnsi"/>
        <w:b/>
        <w:bCs/>
        <w:color w:val="000000" w:themeColor="text1"/>
      </w:rPr>
      <w:tab/>
    </w:r>
    <w:r w:rsidRPr="0051671B">
      <w:rPr>
        <w:rFonts w:asciiTheme="minorHAnsi" w:hAnsiTheme="minorHAnsi" w:cstheme="minorHAnsi"/>
        <w:b/>
        <w:bCs/>
        <w:color w:val="000000" w:themeColor="text1"/>
      </w:rPr>
      <w:t>Teacher Name: ______________ Date: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807E0"/>
    <w:multiLevelType w:val="hybridMultilevel"/>
    <w:tmpl w:val="90B29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1"/>
  </w:num>
  <w:num w:numId="2" w16cid:durableId="38071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66FF8"/>
    <w:rsid w:val="00084848"/>
    <w:rsid w:val="00127F48"/>
    <w:rsid w:val="00184470"/>
    <w:rsid w:val="00193AE8"/>
    <w:rsid w:val="002C0F83"/>
    <w:rsid w:val="0034338A"/>
    <w:rsid w:val="003A47AB"/>
    <w:rsid w:val="004213E5"/>
    <w:rsid w:val="0051671B"/>
    <w:rsid w:val="005C72B0"/>
    <w:rsid w:val="005D6D25"/>
    <w:rsid w:val="005E7C0B"/>
    <w:rsid w:val="00750C52"/>
    <w:rsid w:val="00894065"/>
    <w:rsid w:val="00957226"/>
    <w:rsid w:val="00AF4A14"/>
    <w:rsid w:val="00C506CB"/>
    <w:rsid w:val="00E7069F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0"/>
    <w:rsid w:val="00C506CB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Louise Merrigan</cp:lastModifiedBy>
  <cp:revision>2</cp:revision>
  <cp:lastPrinted>2024-09-09T09:20:00Z</cp:lastPrinted>
  <dcterms:created xsi:type="dcterms:W3CDTF">2024-10-07T10:45:00Z</dcterms:created>
  <dcterms:modified xsi:type="dcterms:W3CDTF">2024-10-07T10:45:00Z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-1034547528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</Properties>
</file>