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D765" w14:textId="77777777" w:rsidR="00B85312" w:rsidRDefault="00B85312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</w:p>
    <w:p w14:paraId="7F1655AB" w14:textId="4FFF7DD0" w:rsidR="00B85312" w:rsidRDefault="004A6F65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  <w:r w:rsidRPr="004A6F65">
        <w:rPr>
          <w:rFonts w:asciiTheme="minorHAnsi" w:hAnsiTheme="minorHAnsi" w:cstheme="minorHAnsi"/>
          <w:b/>
          <w:color w:val="BB5EA4"/>
          <w:sz w:val="28"/>
          <w:szCs w:val="28"/>
        </w:rPr>
        <w:t>Unit 13: Measuring 2 (March: Weeks 3&amp;4)</w:t>
      </w:r>
    </w:p>
    <w:p w14:paraId="33A92360" w14:textId="77777777" w:rsidR="004A6F65" w:rsidRPr="007E4993" w:rsidRDefault="004A6F65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535D6912" w:rsidR="008E19A8" w:rsidRPr="007E4993" w:rsidRDefault="00CD62C8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Measures &gt; Measuring.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7BB76613" w:rsidR="008E19A8" w:rsidRPr="007E4993" w:rsidRDefault="00CD62C8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CD62C8">
              <w:rPr>
                <w:rFonts w:asciiTheme="minorHAnsi" w:hAnsiTheme="minorHAnsi" w:cstheme="minorHAnsi"/>
                <w:color w:val="231F20"/>
              </w:rPr>
              <w:t xml:space="preserve">Through appropriately playful and engaging learning experiences children should be able to </w:t>
            </w:r>
            <w:r w:rsidR="00224B96" w:rsidRPr="00224B96">
              <w:rPr>
                <w:rFonts w:asciiTheme="minorHAnsi" w:hAnsiTheme="minorHAnsi" w:cstheme="minorHAnsi"/>
                <w:color w:val="231F20"/>
              </w:rPr>
              <w:t xml:space="preserve">compare, approximate and measure length, weight, </w:t>
            </w:r>
            <w:proofErr w:type="gramStart"/>
            <w:r w:rsidR="00224B96" w:rsidRPr="00224B96">
              <w:rPr>
                <w:rFonts w:asciiTheme="minorHAnsi" w:hAnsiTheme="minorHAnsi" w:cstheme="minorHAnsi"/>
                <w:color w:val="231F20"/>
              </w:rPr>
              <w:t>capacity</w:t>
            </w:r>
            <w:proofErr w:type="gramEnd"/>
            <w:r w:rsidR="00224B96" w:rsidRPr="00224B96">
              <w:rPr>
                <w:rFonts w:asciiTheme="minorHAnsi" w:hAnsiTheme="minorHAnsi" w:cstheme="minorHAnsi"/>
                <w:color w:val="231F20"/>
              </w:rPr>
              <w:t xml:space="preserve"> and area using appropriate instruments and record using appropriate units of measurement.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21"/>
        <w:gridCol w:w="567"/>
        <w:gridCol w:w="3685"/>
        <w:gridCol w:w="1833"/>
      </w:tblGrid>
      <w:tr w:rsidR="00B35094" w:rsidRPr="007E4993" w14:paraId="462E005C" w14:textId="77777777" w:rsidTr="004A6F65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21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shd w:val="clear" w:color="auto" w:fill="BB5EA4"/>
          </w:tcPr>
          <w:p w14:paraId="55CC0DC9" w14:textId="364ED421" w:rsidR="00B35094" w:rsidRPr="007E4993" w:rsidRDefault="004A6F65" w:rsidP="004A6F6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 </w:t>
            </w:r>
            <w:r w:rsidR="008E19A8"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5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4A6F65" w:rsidRPr="007E4993" w14:paraId="5E31D108" w14:textId="77777777" w:rsidTr="004A6F65">
        <w:trPr>
          <w:trHeight w:val="823"/>
          <w:jc w:val="center"/>
        </w:trPr>
        <w:tc>
          <w:tcPr>
            <w:tcW w:w="850" w:type="dxa"/>
          </w:tcPr>
          <w:p w14:paraId="6DD091A6" w14:textId="77777777" w:rsidR="004A6F65" w:rsidRPr="00CD62C8" w:rsidRDefault="004A6F65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221" w:type="dxa"/>
          </w:tcPr>
          <w:p w14:paraId="7A86FF3F" w14:textId="28980ADD" w:rsidR="004A6F65" w:rsidRPr="00B85312" w:rsidRDefault="004A6F65" w:rsidP="004A6F65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4A6F6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 Weight: </w:t>
            </w:r>
            <w:r w:rsidRPr="004A6F65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and discriminates between objects using appropriate comparative language (C); Compares and orders objects according to weight by making direct comparisons (U&amp;C)</w:t>
            </w:r>
          </w:p>
        </w:tc>
        <w:tc>
          <w:tcPr>
            <w:tcW w:w="567" w:type="dxa"/>
          </w:tcPr>
          <w:p w14:paraId="27FB0435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 w:val="restart"/>
          </w:tcPr>
          <w:p w14:paraId="283B24DC" w14:textId="77777777" w:rsidR="004A6F65" w:rsidRPr="004A6F65" w:rsidRDefault="004A6F65" w:rsidP="004A6F6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>[D] Notice &amp; Wonder L1, 4</w:t>
            </w:r>
          </w:p>
          <w:p w14:paraId="0001DECC" w14:textId="57EA4857" w:rsidR="004A6F65" w:rsidRPr="004A6F65" w:rsidRDefault="004A6F65" w:rsidP="004A6F6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D3150F" w:rsidRPr="004A6F65">
              <w:rPr>
                <w:rFonts w:asciiTheme="minorHAnsi" w:hAnsiTheme="minorHAnsi" w:cstheme="minorHAnsi"/>
                <w:sz w:val="20"/>
                <w:szCs w:val="20"/>
              </w:rPr>
              <w:t>[C] [</w:t>
            </w:r>
            <w:r w:rsidR="00D3150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3150F" w:rsidRPr="004A6F65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>Think-Pair-Share L1–7</w:t>
            </w:r>
          </w:p>
          <w:p w14:paraId="62CCE78A" w14:textId="30280282" w:rsidR="004A6F65" w:rsidRPr="004A6F65" w:rsidRDefault="004A6F65" w:rsidP="004A6F6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D3150F" w:rsidRPr="004A6F65">
              <w:rPr>
                <w:rFonts w:asciiTheme="minorHAnsi" w:hAnsiTheme="minorHAnsi" w:cstheme="minorHAnsi"/>
                <w:sz w:val="20"/>
                <w:szCs w:val="20"/>
              </w:rPr>
              <w:t>[C] [</w:t>
            </w:r>
            <w:r w:rsidR="00D3150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3150F" w:rsidRPr="004A6F65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>Reason &amp; Respond L1–7</w:t>
            </w:r>
          </w:p>
          <w:p w14:paraId="69DB7226" w14:textId="6D5B6E52" w:rsidR="004A6F65" w:rsidRPr="004A6F65" w:rsidRDefault="004A6F65" w:rsidP="004A6F6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3D732B" w:rsidRPr="004A6F6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3D732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D732B" w:rsidRPr="004A6F65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>Concept Cartoon L2, 7</w:t>
            </w:r>
          </w:p>
          <w:p w14:paraId="22B6FB6A" w14:textId="77777777" w:rsidR="004A6F65" w:rsidRPr="004A6F65" w:rsidRDefault="004A6F65" w:rsidP="004A6F6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>[D] Three-Act Task L2, 5</w:t>
            </w:r>
          </w:p>
          <w:p w14:paraId="60D7E2A7" w14:textId="269AA53C" w:rsidR="004A6F65" w:rsidRPr="004A6F65" w:rsidRDefault="004A6F65" w:rsidP="004A6F6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75ECB" w:rsidRPr="004A6F65">
              <w:rPr>
                <w:rFonts w:asciiTheme="minorHAnsi" w:hAnsiTheme="minorHAnsi" w:cstheme="minorHAnsi"/>
                <w:sz w:val="20"/>
                <w:szCs w:val="20"/>
              </w:rPr>
              <w:t>[C] [</w:t>
            </w:r>
            <w:r w:rsidR="00875EC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75ECB" w:rsidRPr="004A6F65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>Write-Hide-Show L3, 6</w:t>
            </w:r>
          </w:p>
          <w:p w14:paraId="551F1601" w14:textId="77777777" w:rsidR="004A6F65" w:rsidRPr="004A6F65" w:rsidRDefault="004A6F65" w:rsidP="004A6F6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>[D] Would This Work? L4, 5</w:t>
            </w:r>
          </w:p>
          <w:p w14:paraId="59AC991C" w14:textId="249C0F70" w:rsidR="004A6F65" w:rsidRDefault="004A6F65" w:rsidP="004A6F6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A6F65">
              <w:rPr>
                <w:rFonts w:asciiTheme="minorHAnsi" w:hAnsiTheme="minorHAnsi" w:cstheme="minorHAnsi"/>
                <w:sz w:val="20"/>
                <w:szCs w:val="20"/>
              </w:rPr>
              <w:t>[C] Which has the Greater Capacity? L4, 5</w:t>
            </w:r>
          </w:p>
          <w:p w14:paraId="78C130BE" w14:textId="77777777" w:rsidR="004A6F65" w:rsidRDefault="004A6F65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133E31B2" w14:textId="77777777" w:rsidR="004A6F65" w:rsidRPr="007E4993" w:rsidRDefault="004A6F65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4A6F65" w:rsidRPr="007E4993" w:rsidRDefault="004A6F65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25E3E468" w14:textId="77777777" w:rsidR="004A6F65" w:rsidRPr="004A6F65" w:rsidRDefault="004A6F65" w:rsidP="004A6F65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A6F65">
              <w:rPr>
                <w:rFonts w:asciiTheme="minorHAnsi" w:hAnsiTheme="minorHAnsi" w:cstheme="minorHAnsi"/>
                <w:color w:val="231F20"/>
                <w:sz w:val="20"/>
              </w:rPr>
              <w:t>Pupil’s Book pages 83–88</w:t>
            </w:r>
          </w:p>
          <w:p w14:paraId="613FE24D" w14:textId="77777777" w:rsidR="004A6F65" w:rsidRDefault="004A6F65" w:rsidP="004A6F65">
            <w:pPr>
              <w:pStyle w:val="TableParagraph"/>
              <w:spacing w:before="37" w:line="276" w:lineRule="auto"/>
              <w:ind w:left="79" w:right="-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A6F65">
              <w:rPr>
                <w:rFonts w:asciiTheme="minorHAnsi" w:hAnsiTheme="minorHAnsi" w:cstheme="minorHAnsi"/>
                <w:color w:val="231F20"/>
                <w:sz w:val="20"/>
              </w:rPr>
              <w:t>Home/School Links Book pages 30–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3</w:t>
            </w:r>
            <w:r w:rsidRPr="004A6F65">
              <w:rPr>
                <w:rFonts w:asciiTheme="minorHAnsi" w:hAnsiTheme="minorHAnsi" w:cstheme="minorHAnsi"/>
                <w:color w:val="231F20"/>
                <w:sz w:val="20"/>
              </w:rPr>
              <w:t>1</w:t>
            </w:r>
          </w:p>
          <w:p w14:paraId="19B6016C" w14:textId="15C1B528" w:rsidR="004A6F65" w:rsidRPr="007E4993" w:rsidRDefault="004A6F65" w:rsidP="004A6F65">
            <w:pPr>
              <w:pStyle w:val="TableParagraph"/>
              <w:spacing w:before="37" w:line="276" w:lineRule="auto"/>
              <w:ind w:left="79" w:right="-3"/>
              <w:rPr>
                <w:rFonts w:asciiTheme="minorHAnsi" w:hAnsiTheme="minorHAnsi" w:cstheme="minorHAnsi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 xml:space="preserve">PCM </w:t>
            </w:r>
            <w:r w:rsidR="003D732B"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 xml:space="preserve">48–49 </w:t>
            </w:r>
            <w:r w:rsidR="00875ECB"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1833" w:type="dxa"/>
            <w:vMerge w:val="restart"/>
          </w:tcPr>
          <w:p w14:paraId="76615510" w14:textId="77777777" w:rsidR="004A6F65" w:rsidRPr="007E4993" w:rsidRDefault="004A6F65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4A6F65" w:rsidRPr="007E4993" w:rsidRDefault="004A6F65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4A6F65" w:rsidRPr="007E4993" w:rsidRDefault="004A6F65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2F2EB532" w:rsidR="004A6F65" w:rsidRPr="007E4993" w:rsidRDefault="00D3150F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br/>
            </w:r>
            <w:r w:rsidR="004A6F65"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1A735F69" w:rsidR="004A6F65" w:rsidRPr="007E4993" w:rsidRDefault="004A6F65" w:rsidP="000E3857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0E38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 w:rsidR="000E3857"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E0722FD" w14:textId="77777777" w:rsidR="004A6F65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FCB2E02" w14:textId="77777777" w:rsidR="000E3857" w:rsidRPr="007E4993" w:rsidRDefault="000E385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20864B" w14:textId="591C399D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25AA141D" w14:textId="31AC6681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08D269DD" w14:textId="77777777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68C0ABCC" w14:textId="3E8F1404" w:rsidR="004A6F65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 w:rsidR="00D3150F"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>23–24</w:t>
            </w:r>
          </w:p>
          <w:p w14:paraId="592792A6" w14:textId="0B340826" w:rsidR="004A6F65" w:rsidRPr="007E4993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4A6F65" w:rsidRPr="007E4993" w14:paraId="5D94DE4A" w14:textId="77777777" w:rsidTr="004A6F65">
        <w:trPr>
          <w:trHeight w:val="834"/>
          <w:jc w:val="center"/>
        </w:trPr>
        <w:tc>
          <w:tcPr>
            <w:tcW w:w="850" w:type="dxa"/>
          </w:tcPr>
          <w:p w14:paraId="382CFADF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221" w:type="dxa"/>
          </w:tcPr>
          <w:p w14:paraId="2C27DB33" w14:textId="4BE8F2FD" w:rsidR="004A6F65" w:rsidRPr="007E4993" w:rsidRDefault="004A6F65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A6F6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Measuring Weight: </w:t>
            </w:r>
            <w:r w:rsidRPr="004A6F65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the appropriate measurement instruments and units for a given situation (U&amp;C); Collects and records measurement data in systematic ways (e.g. using lists, tables) and compares results (C)</w:t>
            </w:r>
          </w:p>
        </w:tc>
        <w:tc>
          <w:tcPr>
            <w:tcW w:w="567" w:type="dxa"/>
          </w:tcPr>
          <w:p w14:paraId="10110760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7854AB2A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63375A6C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3E6C46B7" w14:textId="77777777" w:rsidTr="004A6F65">
        <w:trPr>
          <w:trHeight w:val="961"/>
          <w:jc w:val="center"/>
        </w:trPr>
        <w:tc>
          <w:tcPr>
            <w:tcW w:w="850" w:type="dxa"/>
          </w:tcPr>
          <w:p w14:paraId="33209CCB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221" w:type="dxa"/>
          </w:tcPr>
          <w:p w14:paraId="7EFFFA45" w14:textId="64B86927" w:rsidR="004A6F65" w:rsidRPr="007E4993" w:rsidRDefault="004A6F65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A6F6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Kilograms: </w:t>
            </w:r>
            <w:r w:rsidRPr="004A6F65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commonalities and differences between measurable attributes and the need for standard units to measure weight (U&amp;C); Recognises that units of measurement can simplify communication about measurement (C)</w:t>
            </w:r>
          </w:p>
        </w:tc>
        <w:tc>
          <w:tcPr>
            <w:tcW w:w="567" w:type="dxa"/>
          </w:tcPr>
          <w:p w14:paraId="3D3115A3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1F17EFB3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74536590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74552C4E" w14:textId="77777777" w:rsidTr="004A6F65">
        <w:trPr>
          <w:trHeight w:val="833"/>
          <w:jc w:val="center"/>
        </w:trPr>
        <w:tc>
          <w:tcPr>
            <w:tcW w:w="850" w:type="dxa"/>
          </w:tcPr>
          <w:p w14:paraId="5AE1A8A1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221" w:type="dxa"/>
          </w:tcPr>
          <w:p w14:paraId="43712450" w14:textId="04F21D0E" w:rsidR="004A6F65" w:rsidRPr="007E4993" w:rsidRDefault="004A6F65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A6F6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 Capacity: </w:t>
            </w:r>
            <w:r w:rsidRPr="004A6F65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and discriminates between objects using appropriate comparative language (C); Compares and orders objects according to capacity by making direct comparisons (U&amp;C)</w:t>
            </w:r>
          </w:p>
        </w:tc>
        <w:tc>
          <w:tcPr>
            <w:tcW w:w="567" w:type="dxa"/>
          </w:tcPr>
          <w:p w14:paraId="668AF191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7B624614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04275785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5AF0AB00" w14:textId="77777777" w:rsidTr="004A6F65">
        <w:trPr>
          <w:trHeight w:val="817"/>
          <w:jc w:val="center"/>
        </w:trPr>
        <w:tc>
          <w:tcPr>
            <w:tcW w:w="850" w:type="dxa"/>
          </w:tcPr>
          <w:p w14:paraId="09D1B076" w14:textId="19FE8D75" w:rsidR="004A6F65" w:rsidRPr="00CD62C8" w:rsidRDefault="004A6F65" w:rsidP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221" w:type="dxa"/>
          </w:tcPr>
          <w:p w14:paraId="4C6B4980" w14:textId="31722D2C" w:rsidR="004A6F65" w:rsidRPr="00B85312" w:rsidRDefault="004A6F65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A6F6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Measuring Capacity: </w:t>
            </w:r>
            <w:r w:rsidRPr="004A6F65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the appropriate measurement instruments and non-standard units for a given situation (U&amp;C); Collects and records measurement data in systematic ways (e.g. using lists, tables) and compares results (C)</w:t>
            </w:r>
          </w:p>
        </w:tc>
        <w:tc>
          <w:tcPr>
            <w:tcW w:w="567" w:type="dxa"/>
          </w:tcPr>
          <w:p w14:paraId="4AEF9AE7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65165CDE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25F59F65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00217E37" w14:textId="77777777" w:rsidTr="004A6F65">
        <w:trPr>
          <w:trHeight w:val="842"/>
          <w:jc w:val="center"/>
        </w:trPr>
        <w:tc>
          <w:tcPr>
            <w:tcW w:w="850" w:type="dxa"/>
          </w:tcPr>
          <w:p w14:paraId="3206F6BF" w14:textId="558575F4" w:rsidR="004A6F65" w:rsidRPr="00CD62C8" w:rsidRDefault="004A6F65" w:rsidP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8221" w:type="dxa"/>
          </w:tcPr>
          <w:p w14:paraId="5034BC40" w14:textId="4F9ACB48" w:rsidR="004A6F65" w:rsidRPr="00B85312" w:rsidRDefault="004A6F65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A6F6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Litres: </w:t>
            </w:r>
            <w:r w:rsidRPr="004A6F65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commonalities and differences between measurable attributes and the need for standard units to measure capacity (U&amp;C); Recognises that units of measurement can simplify communication about measurement (C)</w:t>
            </w:r>
          </w:p>
        </w:tc>
        <w:tc>
          <w:tcPr>
            <w:tcW w:w="567" w:type="dxa"/>
          </w:tcPr>
          <w:p w14:paraId="1226CC4D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757872C5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28D7F6BD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7DAE9900" w14:textId="77777777" w:rsidTr="004A6F65">
        <w:trPr>
          <w:trHeight w:val="827"/>
          <w:jc w:val="center"/>
        </w:trPr>
        <w:tc>
          <w:tcPr>
            <w:tcW w:w="850" w:type="dxa"/>
          </w:tcPr>
          <w:p w14:paraId="04129C5A" w14:textId="7C0AF12C" w:rsidR="004A6F65" w:rsidRPr="00CD62C8" w:rsidRDefault="004A6F65" w:rsidP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8221" w:type="dxa"/>
          </w:tcPr>
          <w:p w14:paraId="5904C95D" w14:textId="0304F629" w:rsidR="004A6F65" w:rsidRPr="00B85312" w:rsidRDefault="004A6F65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A6F6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Measuring Investigation: </w:t>
            </w:r>
            <w:r w:rsidRPr="004A6F65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the appropriate attribute to measure for a given problem situation (A&amp;PS); Selects and uses appropriate procedures, measures and equipment to measure attributes of length, weight, and capacity (A&amp;PS)</w:t>
            </w:r>
          </w:p>
        </w:tc>
        <w:tc>
          <w:tcPr>
            <w:tcW w:w="567" w:type="dxa"/>
          </w:tcPr>
          <w:p w14:paraId="27ADD61E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52FC14DD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2BB94591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72C34BEB" w14:textId="77777777" w:rsidTr="004A6F65">
        <w:trPr>
          <w:trHeight w:val="593"/>
          <w:jc w:val="center"/>
        </w:trPr>
        <w:tc>
          <w:tcPr>
            <w:tcW w:w="850" w:type="dxa"/>
          </w:tcPr>
          <w:p w14:paraId="4207EFB6" w14:textId="4AD31587" w:rsidR="004A6F65" w:rsidRPr="00CD62C8" w:rsidRDefault="004A6F65" w:rsidP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8</w:t>
            </w:r>
          </w:p>
        </w:tc>
        <w:tc>
          <w:tcPr>
            <w:tcW w:w="8221" w:type="dxa"/>
          </w:tcPr>
          <w:p w14:paraId="4583F1FB" w14:textId="153FA7DB" w:rsidR="004A6F65" w:rsidRPr="00B85312" w:rsidRDefault="004A6F65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4A6F6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4A6F65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</w:tcPr>
          <w:p w14:paraId="71E7145B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4904CFA9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589F4FC0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36704A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C7E9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potNew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BA65" w14:textId="1211935A" w:rsidR="00142860" w:rsidRPr="008E19A8" w:rsidRDefault="00B85312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D42748">
      <w:rPr>
        <w:rFonts w:asciiTheme="minorHAnsi" w:hAnsiTheme="minorHAnsi" w:cstheme="minorHAnsi"/>
      </w:rPr>
      <w:t>1st Class – Short-Term Plan</w:t>
    </w:r>
    <w:r w:rsidR="00142860">
      <w:rPr>
        <w:rFonts w:asciiTheme="minorHAnsi" w:hAnsiTheme="minorHAnsi" w:cstheme="minorHAnsi"/>
        <w:color w:val="000000" w:themeColor="text1"/>
      </w:rPr>
      <w:tab/>
    </w:r>
    <w:r w:rsidR="00142860"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="00142860" w:rsidRPr="00AC59AC">
      <w:rPr>
        <w:rFonts w:asciiTheme="minorHAnsi" w:hAnsiTheme="minorHAnsi" w:cstheme="minorHAnsi"/>
        <w:b/>
        <w:bCs/>
        <w:lang w:val="en-GB"/>
      </w:rPr>
      <w:t>Name:</w:t>
    </w:r>
    <w:r w:rsidR="00142860" w:rsidRPr="008A71E1">
      <w:rPr>
        <w:rFonts w:asciiTheme="minorHAnsi" w:hAnsiTheme="minorHAnsi" w:cstheme="minorHAnsi"/>
        <w:lang w:val="en-GB"/>
      </w:rPr>
      <w:t xml:space="preserve"> ______________ </w:t>
    </w:r>
    <w:r w:rsidR="00142860" w:rsidRPr="00AC59AC">
      <w:rPr>
        <w:rFonts w:asciiTheme="minorHAnsi" w:hAnsiTheme="minorHAnsi" w:cstheme="minorHAnsi"/>
        <w:b/>
        <w:bCs/>
        <w:lang w:val="en-GB"/>
      </w:rPr>
      <w:t>Date:</w:t>
    </w:r>
    <w:r w:rsidR="00142860"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814"/>
    <w:rsid w:val="00061066"/>
    <w:rsid w:val="000619B0"/>
    <w:rsid w:val="00066436"/>
    <w:rsid w:val="00096735"/>
    <w:rsid w:val="000C1930"/>
    <w:rsid w:val="000D2BDB"/>
    <w:rsid w:val="000E3562"/>
    <w:rsid w:val="000E3857"/>
    <w:rsid w:val="0010317E"/>
    <w:rsid w:val="001059C6"/>
    <w:rsid w:val="00105DC4"/>
    <w:rsid w:val="00142860"/>
    <w:rsid w:val="00142FA9"/>
    <w:rsid w:val="0014461F"/>
    <w:rsid w:val="001A204E"/>
    <w:rsid w:val="001C53D9"/>
    <w:rsid w:val="001D0BEB"/>
    <w:rsid w:val="001E6E13"/>
    <w:rsid w:val="00206F44"/>
    <w:rsid w:val="00224B96"/>
    <w:rsid w:val="00251669"/>
    <w:rsid w:val="00255642"/>
    <w:rsid w:val="002B7771"/>
    <w:rsid w:val="002B7ECA"/>
    <w:rsid w:val="002E6C77"/>
    <w:rsid w:val="003274BA"/>
    <w:rsid w:val="00335922"/>
    <w:rsid w:val="00360494"/>
    <w:rsid w:val="0036704A"/>
    <w:rsid w:val="003801AA"/>
    <w:rsid w:val="00393816"/>
    <w:rsid w:val="003C163D"/>
    <w:rsid w:val="003D732B"/>
    <w:rsid w:val="00400FDA"/>
    <w:rsid w:val="00404FA0"/>
    <w:rsid w:val="00442720"/>
    <w:rsid w:val="004820A8"/>
    <w:rsid w:val="00483008"/>
    <w:rsid w:val="004A6F65"/>
    <w:rsid w:val="004D0C7F"/>
    <w:rsid w:val="00502CAD"/>
    <w:rsid w:val="00513071"/>
    <w:rsid w:val="005162B1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26D0B"/>
    <w:rsid w:val="00732534"/>
    <w:rsid w:val="007526CA"/>
    <w:rsid w:val="007E4993"/>
    <w:rsid w:val="007F2612"/>
    <w:rsid w:val="00861699"/>
    <w:rsid w:val="00875ECB"/>
    <w:rsid w:val="00883320"/>
    <w:rsid w:val="00893637"/>
    <w:rsid w:val="00895A4F"/>
    <w:rsid w:val="008A133D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81F0B"/>
    <w:rsid w:val="00AE4472"/>
    <w:rsid w:val="00AE66FA"/>
    <w:rsid w:val="00B22F1A"/>
    <w:rsid w:val="00B35094"/>
    <w:rsid w:val="00B41601"/>
    <w:rsid w:val="00B50118"/>
    <w:rsid w:val="00B623CB"/>
    <w:rsid w:val="00B85312"/>
    <w:rsid w:val="00BB71B3"/>
    <w:rsid w:val="00BB7241"/>
    <w:rsid w:val="00BD17ED"/>
    <w:rsid w:val="00BE3AF6"/>
    <w:rsid w:val="00C95240"/>
    <w:rsid w:val="00CD62C8"/>
    <w:rsid w:val="00CE7A7B"/>
    <w:rsid w:val="00CF52D2"/>
    <w:rsid w:val="00D2044B"/>
    <w:rsid w:val="00D3150F"/>
    <w:rsid w:val="00D55B0C"/>
    <w:rsid w:val="00D57400"/>
    <w:rsid w:val="00D60953"/>
    <w:rsid w:val="00DC7E9B"/>
    <w:rsid w:val="00DE69A5"/>
    <w:rsid w:val="00DF74F9"/>
    <w:rsid w:val="00E418D5"/>
    <w:rsid w:val="00E77B96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Teresa McMenamin</cp:lastModifiedBy>
  <cp:revision>2</cp:revision>
  <cp:lastPrinted>2024-09-04T09:54:00Z</cp:lastPrinted>
  <dcterms:created xsi:type="dcterms:W3CDTF">2024-12-09T12:52:00Z</dcterms:created>
  <dcterms:modified xsi:type="dcterms:W3CDTF">2024-12-09T12:52:00Z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